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1"/>
        <w:rPr>
          <w:sz w:val="47"/>
        </w:rPr>
      </w:pPr>
    </w:p>
    <w:p>
      <w:pPr>
        <w:spacing w:before="0"/>
        <w:ind w:left="3280" w:right="0" w:firstLine="0"/>
        <w:jc w:val="left"/>
        <w:rPr>
          <w:rFonts w:ascii="Georgia" w:hAnsi="Georgia"/>
          <w:b/>
          <w:sz w:val="38"/>
        </w:rPr>
      </w:pPr>
      <w:r>
        <w:rPr/>
        <w:pict>
          <v:line style="position:absolute;mso-position-horizontal-relative:page;mso-position-vertical-relative:paragraph;z-index:251666432" from="60.483059pt,-2.474248pt" to="542.377259pt,-2.474248pt" stroked="true" strokeweight="1pt" strokecolor="#e32400">
            <v:stroke dashstyle="solid"/>
            <w10:wrap type="none"/>
          </v:line>
        </w:pict>
      </w:r>
      <w:r>
        <w:rPr>
          <w:rFonts w:ascii="Georgia" w:hAnsi="Georgia"/>
          <w:b/>
          <w:color w:val="CA1717"/>
          <w:sz w:val="38"/>
        </w:rPr>
        <w:t>COMMUNIQUÉ DE PRESSE</w:t>
      </w:r>
    </w:p>
    <w:p>
      <w:pPr>
        <w:spacing w:before="35"/>
        <w:ind w:left="844" w:right="0" w:firstLine="0"/>
        <w:jc w:val="left"/>
        <w:rPr>
          <w:sz w:val="22"/>
        </w:rPr>
      </w:pPr>
      <w:r>
        <w:rPr/>
        <w:br w:type="column"/>
      </w:r>
      <w:r>
        <w:rPr>
          <w:w w:val="105"/>
          <w:sz w:val="22"/>
        </w:rPr>
        <w:t>9 mars 2020</w:t>
      </w:r>
    </w:p>
    <w:p>
      <w:pPr>
        <w:spacing w:after="0"/>
        <w:jc w:val="left"/>
        <w:rPr>
          <w:sz w:val="22"/>
        </w:rPr>
        <w:sectPr>
          <w:type w:val="continuous"/>
          <w:pgSz w:w="11910" w:h="16840"/>
          <w:pgMar w:top="180" w:bottom="280" w:left="20" w:right="0"/>
          <w:cols w:num="2" w:equalWidth="0">
            <w:col w:w="8744" w:space="40"/>
            <w:col w:w="3106"/>
          </w:cols>
        </w:sectPr>
      </w:pPr>
    </w:p>
    <w:p>
      <w:pPr>
        <w:spacing w:line="252" w:lineRule="auto" w:before="183"/>
        <w:ind w:left="1355" w:right="1207" w:firstLine="0"/>
        <w:jc w:val="center"/>
        <w:rPr>
          <w:rFonts w:ascii="Georgia" w:hAnsi="Georgia"/>
          <w:b/>
          <w:sz w:val="32"/>
        </w:rPr>
      </w:pPr>
      <w:r>
        <w:rPr/>
        <w:pict>
          <v:shape style="position:absolute;margin-left:60.483059pt;margin-top:53.655273pt;width:481.9pt;height:.1pt;mso-position-horizontal-relative:page;mso-position-vertical-relative:paragraph;z-index:-251658240;mso-wrap-distance-left:0;mso-wrap-distance-right:0" coordorigin="1210,1073" coordsize="9638,0" path="m1210,1073l10848,1073e" filled="false" stroked="true" strokeweight="1pt" strokecolor="#e32400">
            <v:path arrowok="t"/>
            <v:stroke dashstyle="solid"/>
            <w10:wrap type="topAndBottom"/>
          </v:shape>
        </w:pict>
      </w:r>
      <w:r>
        <w:rPr/>
        <w:pict>
          <v:shape style="position:absolute;margin-left:61.018108pt;margin-top:65.934174pt;width:481.9pt;height:.1pt;mso-position-horizontal-relative:page;mso-position-vertical-relative:paragraph;z-index:-251657216;mso-wrap-distance-left:0;mso-wrap-distance-right:0" coordorigin="1220,1319" coordsize="9638,0" path="m1220,1319l10858,1319e" filled="false" stroked="true" strokeweight=".75pt" strokecolor="#929292">
            <v:path arrowok="t"/>
            <v:stroke dashstyle="solid"/>
            <w10:wrap type="topAndBottom"/>
          </v:shape>
        </w:pict>
      </w:r>
      <w:r>
        <w:rPr/>
        <w:pict>
          <v:group style="position:absolute;margin-left:6.054762pt;margin-top:109.830574pt;width:218.75pt;height:417.15pt;mso-position-horizontal-relative:page;mso-position-vertical-relative:paragraph;z-index:251664384" coordorigin="121,2197" coordsize="4375,8343">
            <v:shape style="position:absolute;left:2028;top:4109;width:1496;height:867" type="#_x0000_t75" stroked="false">
              <v:imagedata r:id="rId5" o:title=""/>
            </v:shape>
            <v:shape style="position:absolute;left:121;top:2196;width:4368;height:8343" type="#_x0000_t75" stroked="false">
              <v:imagedata r:id="rId6" o:title=""/>
            </v:shape>
            <v:line style="position:absolute" from="4490,2197" to="4490,10539" stroked="true" strokeweight=".5pt" strokecolor="#929292">
              <v:stroke dashstyle="solid"/>
            </v:line>
            <v:line style="position:absolute" from="201,3185" to="4409,3185" stroked="true" strokeweight="1pt" strokecolor="#486e9a">
              <v:stroke dashstyle="dot"/>
            </v:line>
            <v:line style="position:absolute" from="201,8446" to="4409,8446" stroked="true" strokeweight="1pt" strokecolor="#486e9a">
              <v:stroke dashstyle="dot"/>
            </v:line>
            <v:shapetype id="_x0000_t202" o:spt="202" coordsize="21600,21600" path="m,l,21600r21600,l21600,xe">
              <v:stroke joinstyle="miter"/>
              <v:path gradientshapeok="t" o:connecttype="rect"/>
            </v:shapetype>
            <v:shape style="position:absolute;left:220;top:2434;width:4206;height:4706" type="#_x0000_t202" filled="false" stroked="false">
              <v:textbox inset="0,0,0,0">
                <w:txbxContent>
                  <w:p>
                    <w:pPr>
                      <w:spacing w:line="263" w:lineRule="exact" w:before="0"/>
                      <w:ind w:left="100" w:right="116" w:firstLine="0"/>
                      <w:jc w:val="center"/>
                      <w:rPr>
                        <w:rFonts w:ascii="Georgia" w:hAnsi="Georgia"/>
                        <w:b/>
                        <w:sz w:val="28"/>
                      </w:rPr>
                    </w:pPr>
                    <w:r>
                      <w:rPr>
                        <w:rFonts w:ascii="Georgia" w:hAnsi="Georgia"/>
                        <w:b/>
                        <w:color w:val="FFFFF7"/>
                        <w:sz w:val="28"/>
                      </w:rPr>
                      <w:t>Le voyage d’étude de la</w:t>
                    </w:r>
                  </w:p>
                  <w:p>
                    <w:pPr>
                      <w:spacing w:before="22"/>
                      <w:ind w:left="79" w:right="119" w:firstLine="0"/>
                      <w:jc w:val="center"/>
                      <w:rPr>
                        <w:rFonts w:ascii="Georgia"/>
                        <w:b/>
                        <w:sz w:val="28"/>
                      </w:rPr>
                    </w:pPr>
                    <w:r>
                      <w:rPr>
                        <w:rFonts w:ascii="Georgia"/>
                        <w:b/>
                        <w:color w:val="FFFFF7"/>
                        <w:w w:val="105"/>
                        <w:sz w:val="28"/>
                      </w:rPr>
                      <w:t>LPCIVS</w:t>
                    </w:r>
                  </w:p>
                  <w:p>
                    <w:pPr>
                      <w:spacing w:line="276" w:lineRule="auto" w:before="251"/>
                      <w:ind w:left="40" w:right="78" w:firstLine="1"/>
                      <w:jc w:val="center"/>
                      <w:rPr>
                        <w:sz w:val="20"/>
                      </w:rPr>
                    </w:pPr>
                    <w:r>
                      <w:rPr>
                        <w:color w:val="FFFFF7"/>
                        <w:sz w:val="20"/>
                      </w:rPr>
                      <w:t>Née du partenariat entre l’Université de Reims et </w:t>
                    </w:r>
                    <w:r>
                      <w:rPr>
                        <w:color w:val="FFFFF7"/>
                        <w:spacing w:val="-4"/>
                        <w:sz w:val="20"/>
                      </w:rPr>
                      <w:t>Avize </w:t>
                    </w:r>
                    <w:r>
                      <w:rPr>
                        <w:color w:val="FFFFF7"/>
                        <w:sz w:val="20"/>
                      </w:rPr>
                      <w:t>Viticampus, la formation a été créée en </w:t>
                    </w:r>
                    <w:r>
                      <w:rPr>
                        <w:color w:val="FFFFF7"/>
                        <w:spacing w:val="-4"/>
                        <w:sz w:val="20"/>
                      </w:rPr>
                      <w:t>2006 </w:t>
                    </w:r>
                    <w:r>
                      <w:rPr>
                        <w:color w:val="FFFFF7"/>
                        <w:sz w:val="20"/>
                      </w:rPr>
                      <w:t>pour répondre à la demande croissante des opérateurs de la filière vins et spiritueux. Cette formation vise à développer des compétences techniques (process d’élaboration), commerciales</w:t>
                    </w:r>
                  </w:p>
                  <w:p>
                    <w:pPr>
                      <w:spacing w:line="271" w:lineRule="auto" w:before="0"/>
                      <w:ind w:left="0" w:right="18" w:hanging="4"/>
                      <w:jc w:val="center"/>
                      <w:rPr>
                        <w:sz w:val="20"/>
                      </w:rPr>
                    </w:pPr>
                    <w:r>
                      <w:rPr>
                        <w:color w:val="FFFFF7"/>
                        <w:sz w:val="20"/>
                      </w:rPr>
                      <w:t>( techniques de commerce international, marketing), Gestion relation Client) et linguistiques. Les postes visés sont entre autres : brand ambassador, assistant commercial export, chef de zone.</w:t>
                    </w:r>
                  </w:p>
                  <w:p>
                    <w:pPr>
                      <w:spacing w:line="240" w:lineRule="auto" w:before="7"/>
                      <w:rPr>
                        <w:sz w:val="18"/>
                      </w:rPr>
                    </w:pPr>
                  </w:p>
                  <w:p>
                    <w:pPr>
                      <w:spacing w:line="271" w:lineRule="auto" w:before="0"/>
                      <w:ind w:left="100" w:right="119" w:firstLine="0"/>
                      <w:jc w:val="center"/>
                      <w:rPr>
                        <w:b/>
                        <w:sz w:val="20"/>
                      </w:rPr>
                    </w:pPr>
                    <w:r>
                      <w:rPr>
                        <w:b/>
                        <w:color w:val="FFFFF7"/>
                        <w:sz w:val="20"/>
                      </w:rPr>
                      <w:t>Chaque année la licence organise un voyage de fin d’études ayant pour but de découvrir les pratiques viticoles, vinicoles et commerciales d’un pays étranger.</w:t>
                    </w:r>
                  </w:p>
                </w:txbxContent>
              </v:textbox>
              <w10:wrap type="none"/>
            </v:shape>
            <v:shape style="position:absolute;left:340;top:7634;width:3957;height:2526" type="#_x0000_t202" filled="false" stroked="false">
              <v:textbox inset="0,0,0,0">
                <w:txbxContent>
                  <w:p>
                    <w:pPr>
                      <w:spacing w:line="263" w:lineRule="exact" w:before="0"/>
                      <w:ind w:left="0" w:right="23" w:firstLine="0"/>
                      <w:jc w:val="center"/>
                      <w:rPr>
                        <w:rFonts w:ascii="Georgia"/>
                        <w:b/>
                        <w:sz w:val="28"/>
                      </w:rPr>
                    </w:pPr>
                    <w:r>
                      <w:rPr>
                        <w:rFonts w:ascii="Georgia"/>
                        <w:b/>
                        <w:color w:val="FFFFF7"/>
                        <w:w w:val="95"/>
                        <w:sz w:val="28"/>
                      </w:rPr>
                      <w:t>Une organisation made by la</w:t>
                    </w:r>
                  </w:p>
                  <w:p>
                    <w:pPr>
                      <w:spacing w:before="82"/>
                      <w:ind w:left="0" w:right="32" w:firstLine="0"/>
                      <w:jc w:val="center"/>
                      <w:rPr>
                        <w:rFonts w:ascii="Georgia"/>
                        <w:b/>
                        <w:sz w:val="28"/>
                      </w:rPr>
                    </w:pPr>
                    <w:r>
                      <w:rPr>
                        <w:rFonts w:ascii="Georgia"/>
                        <w:b/>
                        <w:color w:val="FFFFF7"/>
                        <w:w w:val="105"/>
                        <w:sz w:val="28"/>
                      </w:rPr>
                      <w:t>LPCIVS</w:t>
                    </w:r>
                  </w:p>
                  <w:p>
                    <w:pPr>
                      <w:spacing w:line="240" w:lineRule="auto" w:before="2"/>
                      <w:rPr>
                        <w:rFonts w:ascii="Georgia"/>
                        <w:b/>
                        <w:sz w:val="29"/>
                      </w:rPr>
                    </w:pPr>
                  </w:p>
                  <w:p>
                    <w:pPr>
                      <w:spacing w:line="271" w:lineRule="auto" w:before="0"/>
                      <w:ind w:left="0" w:right="18" w:hanging="3"/>
                      <w:jc w:val="center"/>
                      <w:rPr>
                        <w:sz w:val="20"/>
                      </w:rPr>
                    </w:pPr>
                    <w:r>
                      <w:rPr>
                        <w:color w:val="FFFFF7"/>
                        <w:sz w:val="20"/>
                      </w:rPr>
                      <w:t>En tant que futurs commerciaux export, nous serons amenés à organiser des déplacements à l’étranger et à gérer nos budgets. C’est dans cette optique que la promotion a pu rendre possible ce voyage, avec l’aide importante du </w:t>
                    </w:r>
                    <w:r>
                      <w:rPr>
                        <w:b/>
                        <w:color w:val="FFFFF7"/>
                        <w:sz w:val="20"/>
                      </w:rPr>
                      <w:t>« groupe voyage », qui a organisé la totalité de celui-ci</w:t>
                    </w:r>
                    <w:r>
                      <w:rPr>
                        <w:color w:val="FFFFF7"/>
                        <w:sz w:val="20"/>
                      </w:rPr>
                      <w:t>,</w:t>
                    </w:r>
                  </w:p>
                </w:txbxContent>
              </v:textbox>
              <w10:wrap type="none"/>
            </v:shape>
            <w10:wrap type="none"/>
          </v:group>
        </w:pict>
      </w:r>
      <w:r>
        <w:rPr>
          <w:rFonts w:ascii="Georgia" w:hAnsi="Georgia"/>
          <w:b/>
          <w:color w:val="CA1717"/>
          <w:sz w:val="32"/>
        </w:rPr>
        <w:t>Voyage au Canada en Ontario du 29 février au 8 mars 2020</w:t>
      </w:r>
    </w:p>
    <w:p>
      <w:pPr>
        <w:pStyle w:val="BodyText"/>
        <w:rPr>
          <w:rFonts w:ascii="Georgia"/>
          <w:b/>
          <w:sz w:val="14"/>
        </w:rPr>
      </w:pPr>
    </w:p>
    <w:p>
      <w:pPr>
        <w:pStyle w:val="BodyText"/>
        <w:spacing w:before="77" w:after="126"/>
        <w:ind w:left="1366" w:right="1207"/>
        <w:jc w:val="center"/>
        <w:rPr>
          <w:rFonts w:ascii="Georgia" w:hAnsi="Georgia"/>
        </w:rPr>
      </w:pPr>
      <w:r>
        <w:rPr>
          <w:rFonts w:ascii="Georgia" w:hAnsi="Georgia"/>
        </w:rPr>
        <w:t>La Licence Professionnelle Commerce International des Vins et Spiritueux en voyage d’étude en Ontario !</w:t>
      </w:r>
    </w:p>
    <w:p>
      <w:pPr>
        <w:pStyle w:val="BodyText"/>
        <w:spacing w:line="20" w:lineRule="exact"/>
        <w:ind w:left="1192"/>
        <w:rPr>
          <w:rFonts w:ascii="Georgia"/>
          <w:sz w:val="2"/>
        </w:rPr>
      </w:pPr>
      <w:r>
        <w:rPr>
          <w:rFonts w:ascii="Georgia"/>
          <w:sz w:val="2"/>
        </w:rPr>
        <w:pict>
          <v:group style="width:481.9pt;height:.75pt;mso-position-horizontal-relative:char;mso-position-vertical-relative:line" coordorigin="0,0" coordsize="9638,15">
            <v:line style="position:absolute" from="0,8" to="9638,8" stroked="true" strokeweight=".75pt" strokecolor="#929292">
              <v:stroke dashstyle="solid"/>
            </v:line>
          </v:group>
        </w:pict>
      </w:r>
      <w:r>
        <w:rPr>
          <w:rFonts w:ascii="Georgia"/>
          <w:sz w:val="2"/>
        </w:rPr>
      </w:r>
    </w:p>
    <w:p>
      <w:pPr>
        <w:pStyle w:val="BodyText"/>
        <w:spacing w:before="2"/>
        <w:rPr>
          <w:rFonts w:ascii="Georgia"/>
          <w:sz w:val="11"/>
        </w:rPr>
      </w:pPr>
      <w:r>
        <w:rPr/>
        <w:drawing>
          <wp:anchor distT="0" distB="0" distL="0" distR="0" allowOverlap="1" layoutInCell="1" locked="0" behindDoc="0" simplePos="0" relativeHeight="3">
            <wp:simplePos x="0" y="0"/>
            <wp:positionH relativeFrom="page">
              <wp:posOffset>3422761</wp:posOffset>
            </wp:positionH>
            <wp:positionV relativeFrom="paragraph">
              <wp:posOffset>105999</wp:posOffset>
            </wp:positionV>
            <wp:extent cx="3563111" cy="2016252"/>
            <wp:effectExtent l="0" t="0" r="0" b="0"/>
            <wp:wrapTopAndBottom/>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3563111" cy="2016252"/>
                    </a:xfrm>
                    <a:prstGeom prst="rect">
                      <a:avLst/>
                    </a:prstGeom>
                  </pic:spPr>
                </pic:pic>
              </a:graphicData>
            </a:graphic>
          </wp:anchor>
        </w:drawing>
      </w:r>
    </w:p>
    <w:p>
      <w:pPr>
        <w:pStyle w:val="BodyText"/>
        <w:spacing w:before="10"/>
        <w:rPr>
          <w:rFonts w:ascii="Georgia"/>
        </w:rPr>
      </w:pPr>
    </w:p>
    <w:p>
      <w:pPr>
        <w:spacing w:line="249" w:lineRule="auto" w:before="0"/>
        <w:ind w:left="7640" w:right="0" w:hanging="2780"/>
        <w:jc w:val="left"/>
        <w:rPr>
          <w:rFonts w:ascii="Georgia" w:hAnsi="Georgia"/>
          <w:b/>
          <w:sz w:val="22"/>
        </w:rPr>
      </w:pPr>
      <w:bookmarkStart w:name="Le voyage d’étude de la LPCIVS" w:id="1"/>
      <w:bookmarkEnd w:id="1"/>
      <w:r>
        <w:rPr/>
      </w:r>
      <w:r>
        <w:rPr>
          <w:rFonts w:ascii="Georgia" w:hAnsi="Georgia"/>
          <w:b/>
          <w:w w:val="95"/>
          <w:sz w:val="22"/>
        </w:rPr>
        <w:t>Résumé</w:t>
      </w:r>
      <w:r>
        <w:rPr>
          <w:rFonts w:ascii="Georgia" w:hAnsi="Georgia"/>
          <w:b/>
          <w:spacing w:val="-12"/>
          <w:w w:val="95"/>
          <w:sz w:val="22"/>
        </w:rPr>
        <w:t> </w:t>
      </w:r>
      <w:r>
        <w:rPr>
          <w:rFonts w:ascii="Georgia" w:hAnsi="Georgia"/>
          <w:b/>
          <w:w w:val="95"/>
          <w:sz w:val="22"/>
        </w:rPr>
        <w:t>de</w:t>
      </w:r>
      <w:r>
        <w:rPr>
          <w:rFonts w:ascii="Georgia" w:hAnsi="Georgia"/>
          <w:b/>
          <w:spacing w:val="-12"/>
          <w:w w:val="95"/>
          <w:sz w:val="22"/>
        </w:rPr>
        <w:t> </w:t>
      </w:r>
      <w:r>
        <w:rPr>
          <w:rFonts w:ascii="Georgia" w:hAnsi="Georgia"/>
          <w:b/>
          <w:w w:val="95"/>
          <w:sz w:val="22"/>
        </w:rPr>
        <w:t>notre</w:t>
      </w:r>
      <w:r>
        <w:rPr>
          <w:rFonts w:ascii="Georgia" w:hAnsi="Georgia"/>
          <w:b/>
          <w:spacing w:val="-12"/>
          <w:w w:val="95"/>
          <w:sz w:val="22"/>
        </w:rPr>
        <w:t> </w:t>
      </w:r>
      <w:r>
        <w:rPr>
          <w:rFonts w:ascii="Georgia" w:hAnsi="Georgia"/>
          <w:b/>
          <w:w w:val="95"/>
          <w:sz w:val="22"/>
        </w:rPr>
        <w:t>voyage</w:t>
      </w:r>
      <w:r>
        <w:rPr>
          <w:rFonts w:ascii="Georgia" w:hAnsi="Georgia"/>
          <w:b/>
          <w:spacing w:val="-12"/>
          <w:w w:val="95"/>
          <w:sz w:val="22"/>
        </w:rPr>
        <w:t> </w:t>
      </w:r>
      <w:r>
        <w:rPr>
          <w:rFonts w:ascii="Georgia" w:hAnsi="Georgia"/>
          <w:b/>
          <w:w w:val="95"/>
          <w:sz w:val="22"/>
        </w:rPr>
        <w:t>d’étude</w:t>
      </w:r>
      <w:r>
        <w:rPr>
          <w:rFonts w:ascii="Georgia" w:hAnsi="Georgia"/>
          <w:b/>
          <w:spacing w:val="-11"/>
          <w:w w:val="95"/>
          <w:sz w:val="22"/>
        </w:rPr>
        <w:t> </w:t>
      </w:r>
      <w:r>
        <w:rPr>
          <w:rFonts w:ascii="Georgia" w:hAnsi="Georgia"/>
          <w:b/>
          <w:w w:val="95"/>
          <w:sz w:val="22"/>
        </w:rPr>
        <w:t>en</w:t>
      </w:r>
      <w:r>
        <w:rPr>
          <w:rFonts w:ascii="Georgia" w:hAnsi="Georgia"/>
          <w:b/>
          <w:spacing w:val="-12"/>
          <w:w w:val="95"/>
          <w:sz w:val="22"/>
        </w:rPr>
        <w:t> </w:t>
      </w:r>
      <w:r>
        <w:rPr>
          <w:rFonts w:ascii="Georgia" w:hAnsi="Georgia"/>
          <w:b/>
          <w:w w:val="95"/>
          <w:sz w:val="22"/>
        </w:rPr>
        <w:t>Ontario,</w:t>
      </w:r>
      <w:r>
        <w:rPr>
          <w:rFonts w:ascii="Georgia" w:hAnsi="Georgia"/>
          <w:b/>
          <w:spacing w:val="-12"/>
          <w:w w:val="95"/>
          <w:sz w:val="22"/>
        </w:rPr>
        <w:t> </w:t>
      </w:r>
      <w:r>
        <w:rPr>
          <w:rFonts w:ascii="Georgia" w:hAnsi="Georgia"/>
          <w:b/>
          <w:w w:val="95"/>
          <w:sz w:val="22"/>
        </w:rPr>
        <w:t>marché</w:t>
      </w:r>
      <w:r>
        <w:rPr>
          <w:rFonts w:ascii="Georgia" w:hAnsi="Georgia"/>
          <w:b/>
          <w:spacing w:val="-12"/>
          <w:w w:val="95"/>
          <w:sz w:val="22"/>
        </w:rPr>
        <w:t> </w:t>
      </w:r>
      <w:r>
        <w:rPr>
          <w:rFonts w:ascii="Georgia" w:hAnsi="Georgia"/>
          <w:b/>
          <w:w w:val="95"/>
          <w:sz w:val="22"/>
        </w:rPr>
        <w:t>des</w:t>
      </w:r>
      <w:r>
        <w:rPr>
          <w:rFonts w:ascii="Georgia" w:hAnsi="Georgia"/>
          <w:b/>
          <w:spacing w:val="-11"/>
          <w:w w:val="95"/>
          <w:sz w:val="22"/>
        </w:rPr>
        <w:t> </w:t>
      </w:r>
      <w:r>
        <w:rPr>
          <w:rFonts w:ascii="Georgia" w:hAnsi="Georgia"/>
          <w:b/>
          <w:w w:val="95"/>
          <w:sz w:val="22"/>
        </w:rPr>
        <w:t>vins</w:t>
      </w:r>
      <w:r>
        <w:rPr>
          <w:rFonts w:ascii="Georgia" w:hAnsi="Georgia"/>
          <w:b/>
          <w:spacing w:val="-12"/>
          <w:w w:val="95"/>
          <w:sz w:val="22"/>
        </w:rPr>
        <w:t> </w:t>
      </w:r>
      <w:r>
        <w:rPr>
          <w:rFonts w:ascii="Georgia" w:hAnsi="Georgia"/>
          <w:b/>
          <w:spacing w:val="-7"/>
          <w:w w:val="95"/>
          <w:sz w:val="22"/>
        </w:rPr>
        <w:t>et </w:t>
      </w:r>
      <w:r>
        <w:rPr>
          <w:rFonts w:ascii="Georgia" w:hAnsi="Georgia"/>
          <w:b/>
          <w:sz w:val="22"/>
        </w:rPr>
        <w:t>spiritueux</w:t>
      </w:r>
    </w:p>
    <w:p>
      <w:pPr>
        <w:pStyle w:val="BodyText"/>
        <w:rPr>
          <w:rFonts w:ascii="Georgia"/>
          <w:b/>
        </w:rPr>
      </w:pPr>
    </w:p>
    <w:p>
      <w:pPr>
        <w:pStyle w:val="Heading1"/>
        <w:spacing w:before="213"/>
        <w:ind w:left="5960"/>
        <w:rPr>
          <w:i/>
        </w:rPr>
      </w:pPr>
      <w:r>
        <w:rPr>
          <w:i/>
          <w:color w:val="BC1E00"/>
        </w:rPr>
        <w:t>Pourquoi le Canada et pourquoi l’Ontario ?</w:t>
      </w:r>
    </w:p>
    <w:p>
      <w:pPr>
        <w:spacing w:line="278" w:lineRule="auto" w:before="133"/>
        <w:ind w:left="4800" w:right="213" w:firstLine="0"/>
        <w:jc w:val="both"/>
        <w:rPr>
          <w:sz w:val="20"/>
        </w:rPr>
      </w:pPr>
      <w:r>
        <w:rPr>
          <w:sz w:val="20"/>
        </w:rPr>
        <w:t>Les importations de vins représentent 73% de la consommation. En 2018, la </w:t>
      </w:r>
      <w:r>
        <w:rPr>
          <w:b/>
          <w:sz w:val="20"/>
        </w:rPr>
        <w:t>France était le premier pays fournisseur de vins en valeur au Canada</w:t>
      </w:r>
      <w:r>
        <w:rPr>
          <w:sz w:val="20"/>
        </w:rPr>
        <w:t>, avec 437,57</w:t>
      </w:r>
      <w:bookmarkStart w:name="Une organisation made by la LPCIVS" w:id="2"/>
      <w:bookmarkEnd w:id="2"/>
      <w:r>
        <w:rPr>
          <w:sz w:val="20"/>
        </w:rPr>
      </w:r>
      <w:r>
        <w:rPr>
          <w:sz w:val="20"/>
        </w:rPr>
        <w:t> millions d’USD soit plus de 21% des parts de marché. Les importations de vins français au Canada, autant en valeur qu’en volume ont augmenté.</w:t>
      </w:r>
    </w:p>
    <w:p>
      <w:pPr>
        <w:spacing w:line="271" w:lineRule="auto" w:before="0"/>
        <w:ind w:left="4800" w:right="211" w:firstLine="0"/>
        <w:jc w:val="both"/>
        <w:rPr>
          <w:sz w:val="20"/>
        </w:rPr>
      </w:pPr>
      <w:r>
        <w:rPr>
          <w:sz w:val="20"/>
        </w:rPr>
        <w:t>L’Ontario est la </w:t>
      </w:r>
      <w:r>
        <w:rPr>
          <w:b/>
          <w:sz w:val="20"/>
        </w:rPr>
        <w:t>principale zone de production </w:t>
      </w:r>
      <w:r>
        <w:rPr>
          <w:sz w:val="20"/>
        </w:rPr>
        <w:t>et de </w:t>
      </w:r>
      <w:r>
        <w:rPr>
          <w:b/>
          <w:sz w:val="20"/>
        </w:rPr>
        <w:t>consommation des vins </w:t>
      </w:r>
      <w:r>
        <w:rPr>
          <w:sz w:val="20"/>
        </w:rPr>
        <w:t>au Canada ; c’est aussi une province dont la distribution est assurée par </w:t>
      </w:r>
      <w:r>
        <w:rPr>
          <w:b/>
          <w:sz w:val="20"/>
        </w:rPr>
        <w:t>un monopole d’Etat, </w:t>
      </w:r>
      <w:r>
        <w:rPr>
          <w:sz w:val="20"/>
        </w:rPr>
        <w:t>qui régule les importations et la vente de vins et spiritueux : la LCBO (un des premiers acheteurs mondiaux de vins).</w:t>
      </w:r>
    </w:p>
    <w:p>
      <w:pPr>
        <w:pStyle w:val="BodyText"/>
      </w:pPr>
    </w:p>
    <w:p>
      <w:pPr>
        <w:pStyle w:val="BodyText"/>
        <w:spacing w:before="4"/>
        <w:rPr>
          <w:sz w:val="16"/>
        </w:rPr>
      </w:pPr>
    </w:p>
    <w:p>
      <w:pPr>
        <w:pStyle w:val="Heading1"/>
        <w:spacing w:before="41"/>
        <w:ind w:left="6780"/>
        <w:rPr>
          <w:i/>
        </w:rPr>
      </w:pPr>
      <w:r>
        <w:rPr>
          <w:i/>
          <w:color w:val="BC1E00"/>
        </w:rPr>
        <w:t>Un financement particulier</w:t>
      </w:r>
    </w:p>
    <w:p>
      <w:pPr>
        <w:spacing w:line="278" w:lineRule="auto" w:before="133"/>
        <w:ind w:left="4800" w:right="296" w:firstLine="0"/>
        <w:jc w:val="both"/>
        <w:rPr>
          <w:sz w:val="20"/>
        </w:rPr>
      </w:pPr>
      <w:r>
        <w:rPr/>
        <w:pict>
          <v:shape style="position:absolute;margin-left:6.359451pt;margin-top:52.725536pt;width:217.9pt;height:111.7pt;mso-position-horizontal-relative:page;mso-position-vertical-relative:paragraph;z-index:251667456" type="#_x0000_t202" filled="false" stroked="true" strokeweight=".5pt" strokecolor="#929292">
            <v:textbox inset="0,0,0,0">
              <w:txbxContent>
                <w:p>
                  <w:pPr>
                    <w:spacing w:before="66"/>
                    <w:ind w:left="1618" w:right="1618" w:firstLine="0"/>
                    <w:jc w:val="center"/>
                    <w:rPr>
                      <w:rFonts w:ascii="Palatino Linotype"/>
                      <w:b/>
                      <w:i/>
                      <w:sz w:val="28"/>
                    </w:rPr>
                  </w:pPr>
                  <w:r>
                    <w:rPr>
                      <w:rFonts w:ascii="Palatino Linotype"/>
                      <w:b/>
                      <w:i/>
                      <w:color w:val="B51700"/>
                      <w:w w:val="105"/>
                      <w:sz w:val="28"/>
                    </w:rPr>
                    <w:t>Objectif</w:t>
                  </w:r>
                </w:p>
                <w:p>
                  <w:pPr>
                    <w:pStyle w:val="BodyText"/>
                    <w:spacing w:line="230" w:lineRule="auto" w:before="77"/>
                    <w:ind w:left="87" w:right="100"/>
                    <w:jc w:val="both"/>
                  </w:pPr>
                  <w:r>
                    <w:rPr/>
                    <w:t>Mettre en place une véritable démarche de gestion de projet au sein de la promotion LP CIVS afin de rencontrer différents intervenants professionnels de la filière des vins et spiritueux en </w:t>
                  </w:r>
                  <w:r>
                    <w:rPr>
                      <w:b/>
                    </w:rPr>
                    <w:t>Ontario. </w:t>
                  </w:r>
                  <w:r>
                    <w:rPr/>
                    <w:t>Objectif final : développer de nouvelles compétences techniques, commerciales, linguistiques et de gestion de projet.</w:t>
                  </w:r>
                </w:p>
              </w:txbxContent>
            </v:textbox>
            <v:stroke dashstyle="solid"/>
            <w10:wrap type="none"/>
          </v:shape>
        </w:pict>
      </w:r>
      <w:r>
        <w:rPr>
          <w:sz w:val="20"/>
        </w:rPr>
        <w:t>Le </w:t>
      </w:r>
      <w:r>
        <w:rPr>
          <w:b/>
          <w:sz w:val="20"/>
        </w:rPr>
        <w:t>financement du voyage a été entièrement géré par la promotion </w:t>
      </w:r>
      <w:r>
        <w:rPr>
          <w:sz w:val="20"/>
        </w:rPr>
        <w:t>qui a mené pendant près de </w:t>
      </w:r>
      <w:r>
        <w:rPr>
          <w:b/>
          <w:sz w:val="20"/>
        </w:rPr>
        <w:t>6 mois de nombreuses actions commerciales </w:t>
      </w:r>
      <w:r>
        <w:rPr>
          <w:sz w:val="20"/>
        </w:rPr>
        <w:t>: une vente aux enchères de vins et spiritueux, une vente de vins du beaujolais, une vente de chocolats et a représenté la coopérative du champagne Sanger lors des journées</w:t>
      </w:r>
    </w:p>
    <w:p>
      <w:pPr>
        <w:pStyle w:val="BodyText"/>
        <w:spacing w:line="223" w:lineRule="exact"/>
        <w:ind w:left="4800"/>
        <w:jc w:val="both"/>
      </w:pPr>
      <w:r>
        <w:rPr/>
        <w:t>« caves ouvertes » à Avize.</w:t>
      </w:r>
    </w:p>
    <w:p>
      <w:pPr>
        <w:pStyle w:val="BodyText"/>
        <w:spacing w:line="271" w:lineRule="auto" w:before="30"/>
        <w:ind w:left="4800" w:right="296"/>
        <w:jc w:val="both"/>
      </w:pPr>
      <w:r>
        <w:rPr/>
        <w:t>Nous tenons à remercier toutes les personnes qui ont contribué à nos actions commerciales.</w:t>
      </w:r>
    </w:p>
    <w:p>
      <w:pPr>
        <w:pStyle w:val="BodyText"/>
      </w:pPr>
    </w:p>
    <w:p>
      <w:pPr>
        <w:pStyle w:val="BodyText"/>
        <w:spacing w:before="1"/>
        <w:rPr>
          <w:sz w:val="22"/>
        </w:rPr>
      </w:pPr>
    </w:p>
    <w:p>
      <w:pPr>
        <w:pStyle w:val="Heading1"/>
        <w:rPr>
          <w:i/>
        </w:rPr>
      </w:pPr>
      <w:r>
        <w:rPr>
          <w:i/>
          <w:color w:val="BC1E00"/>
        </w:rPr>
        <w:t>Un voyage, mais pas seulement : un véritable cha</w:t>
      </w:r>
      <w:r>
        <w:rPr>
          <w:rFonts w:ascii="Arial" w:hAnsi="Arial"/>
          <w:i/>
          <w:color w:val="BC1E00"/>
        </w:rPr>
        <w:t>ll</w:t>
      </w:r>
      <w:r>
        <w:rPr>
          <w:i/>
          <w:color w:val="BC1E00"/>
        </w:rPr>
        <w:t>enge !</w:t>
      </w:r>
    </w:p>
    <w:p>
      <w:pPr>
        <w:pStyle w:val="BodyText"/>
        <w:spacing w:line="271" w:lineRule="auto" w:before="153"/>
        <w:ind w:left="4800" w:right="296"/>
        <w:jc w:val="both"/>
      </w:pPr>
      <w:r>
        <w:rPr/>
        <w:t>Ce voyage est également une </w:t>
      </w:r>
      <w:r>
        <w:rPr>
          <w:b/>
        </w:rPr>
        <w:t>véritable source de motivation </w:t>
      </w:r>
      <w:r>
        <w:rPr/>
        <w:t>dans toutes nos actions commerciales. Jusqu’à la dernière action, nous n’étions pas certains de partir</w:t>
      </w:r>
    </w:p>
    <w:p>
      <w:pPr>
        <w:spacing w:line="276" w:lineRule="auto" w:before="0"/>
        <w:ind w:left="4800" w:right="296" w:firstLine="0"/>
        <w:jc w:val="both"/>
        <w:rPr>
          <w:sz w:val="20"/>
        </w:rPr>
      </w:pPr>
      <w:r>
        <w:rPr/>
        <w:drawing>
          <wp:anchor distT="0" distB="0" distL="0" distR="0" allowOverlap="1" layoutInCell="1" locked="0" behindDoc="0" simplePos="0" relativeHeight="251665408">
            <wp:simplePos x="0" y="0"/>
            <wp:positionH relativeFrom="page">
              <wp:posOffset>734769</wp:posOffset>
            </wp:positionH>
            <wp:positionV relativeFrom="paragraph">
              <wp:posOffset>290459</wp:posOffset>
            </wp:positionV>
            <wp:extent cx="1507689" cy="753844"/>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1507689" cy="753844"/>
                    </a:xfrm>
                    <a:prstGeom prst="rect">
                      <a:avLst/>
                    </a:prstGeom>
                  </pic:spPr>
                </pic:pic>
              </a:graphicData>
            </a:graphic>
          </wp:anchor>
        </w:drawing>
      </w:r>
      <w:r>
        <w:rPr>
          <w:sz w:val="20"/>
        </w:rPr>
        <w:t>; </w:t>
      </w:r>
      <w:r>
        <w:rPr>
          <w:b/>
          <w:sz w:val="20"/>
        </w:rPr>
        <w:t>tout dépendait de notre investissement collectif et individuel dans les projets</w:t>
      </w:r>
      <w:r>
        <w:rPr>
          <w:sz w:val="20"/>
        </w:rPr>
        <w:t>. La promotion est réellement reconnaissante pour tout le savoir acquis concernant la </w:t>
      </w:r>
      <w:r>
        <w:rPr>
          <w:b/>
          <w:sz w:val="20"/>
        </w:rPr>
        <w:t>découverte des méthodes de production et de commercialisation </w:t>
      </w:r>
      <w:r>
        <w:rPr>
          <w:sz w:val="20"/>
        </w:rPr>
        <w:t>inhérentes aux régions viticoles de l’Ontario et les compétences développées en amont pour  assurer le financement du</w:t>
      </w:r>
      <w:r>
        <w:rPr>
          <w:spacing w:val="-2"/>
          <w:sz w:val="20"/>
        </w:rPr>
        <w:t> </w:t>
      </w:r>
      <w:r>
        <w:rPr>
          <w:sz w:val="20"/>
        </w:rPr>
        <w:t>voyage.</w:t>
      </w:r>
    </w:p>
    <w:p>
      <w:pPr>
        <w:spacing w:after="0" w:line="276" w:lineRule="auto"/>
        <w:jc w:val="both"/>
        <w:rPr>
          <w:sz w:val="20"/>
        </w:rPr>
        <w:sectPr>
          <w:type w:val="continuous"/>
          <w:pgSz w:w="11910" w:h="16840"/>
          <w:pgMar w:top="180" w:bottom="280" w:left="20" w:right="0"/>
        </w:sectPr>
      </w:pPr>
    </w:p>
    <w:p>
      <w:pPr>
        <w:pStyle w:val="Heading2"/>
        <w:spacing w:line="196" w:lineRule="exact"/>
        <w:rPr>
          <w:i/>
        </w:rPr>
      </w:pPr>
      <w:r>
        <w:rPr>
          <w:i/>
          <w:color w:val="B51700"/>
        </w:rPr>
        <w:t>Un monopole d’état : la LCBO</w:t>
      </w:r>
    </w:p>
    <w:p>
      <w:pPr>
        <w:pStyle w:val="BodyText"/>
        <w:spacing w:before="11"/>
        <w:rPr>
          <w:i/>
          <w:sz w:val="29"/>
        </w:rPr>
      </w:pPr>
    </w:p>
    <w:p>
      <w:pPr>
        <w:spacing w:line="230" w:lineRule="auto" w:before="0"/>
        <w:ind w:left="140" w:right="41" w:firstLine="0"/>
        <w:jc w:val="both"/>
        <w:rPr>
          <w:sz w:val="20"/>
        </w:rPr>
      </w:pPr>
      <w:r>
        <w:rPr>
          <w:sz w:val="20"/>
        </w:rPr>
        <w:t>Nous avons débuté nos visites avec la rencontre de deux intervenants de la </w:t>
      </w:r>
      <w:r>
        <w:rPr>
          <w:b/>
          <w:sz w:val="20"/>
        </w:rPr>
        <w:t>LCBO </w:t>
      </w:r>
      <w:r>
        <w:rPr>
          <w:sz w:val="20"/>
        </w:rPr>
        <w:t>(Liquor Control Board of Ontario), organisme de régie des alcools en Ontario. </w:t>
      </w:r>
      <w:r>
        <w:rPr>
          <w:b/>
          <w:sz w:val="20"/>
        </w:rPr>
        <w:t>Acteur majeur et incontournable du marché des boissons alcoolisées (</w:t>
      </w:r>
      <w:r>
        <w:rPr>
          <w:sz w:val="20"/>
        </w:rPr>
        <w:t>10,6 milliards de dollars canadiens, soit 6,8 milliards d’euros), il contrôle le marché et </w:t>
      </w:r>
      <w:r>
        <w:rPr>
          <w:b/>
          <w:sz w:val="20"/>
        </w:rPr>
        <w:t>détient 61% de la distribution via ses points de vente </w:t>
      </w:r>
      <w:r>
        <w:rPr>
          <w:sz w:val="20"/>
        </w:rPr>
        <w:t>à enseigne LCBO. </w:t>
      </w:r>
      <w:r>
        <w:rPr>
          <w:spacing w:val="-3"/>
          <w:sz w:val="20"/>
        </w:rPr>
        <w:t>L’organisme </w:t>
      </w:r>
      <w:r>
        <w:rPr>
          <w:sz w:val="20"/>
        </w:rPr>
        <w:t>réalise également plus de 600 analyses par semaine afin de s’assurer de la qualité des vins et spiritueux et vérifier qu’ils correspondent à la demande du</w:t>
      </w:r>
      <w:r>
        <w:rPr>
          <w:spacing w:val="-2"/>
          <w:sz w:val="20"/>
        </w:rPr>
        <w:t> </w:t>
      </w:r>
      <w:r>
        <w:rPr>
          <w:sz w:val="20"/>
        </w:rPr>
        <w:t>marché.</w:t>
      </w:r>
    </w:p>
    <w:p>
      <w:pPr>
        <w:pStyle w:val="BodyText"/>
        <w:spacing w:line="230" w:lineRule="auto"/>
        <w:ind w:left="140" w:right="41"/>
        <w:jc w:val="both"/>
      </w:pPr>
      <w:r>
        <w:rPr/>
        <w:t>La LCBO c’est aussi </w:t>
      </w:r>
      <w:r>
        <w:rPr>
          <w:b/>
        </w:rPr>
        <w:t>666 magasins </w:t>
      </w:r>
      <w:r>
        <w:rPr/>
        <w:t>avec </w:t>
      </w:r>
      <w:r>
        <w:rPr>
          <w:b/>
        </w:rPr>
        <w:t>7,8 millions de visiteurs </w:t>
      </w:r>
      <w:r>
        <w:rPr/>
        <w:t>chaque année. Dans ses points de vente, la catégorie vin est en croissance( +2,7% par rapport à l’année 2019), dont les</w:t>
      </w:r>
      <w:r>
        <w:rPr>
          <w:spacing w:val="34"/>
        </w:rPr>
        <w:t> </w:t>
      </w:r>
      <w:r>
        <w:rPr/>
        <w:t>vins effervescents (7% des ventes de vin), qui sont en croissance de 8%. Les</w:t>
      </w:r>
      <w:r>
        <w:rPr>
          <w:spacing w:val="6"/>
        </w:rPr>
        <w:t> </w:t>
      </w:r>
      <w:r>
        <w:rPr/>
        <w:t>vins</w:t>
      </w:r>
      <w:r>
        <w:rPr>
          <w:spacing w:val="6"/>
        </w:rPr>
        <w:t> </w:t>
      </w:r>
      <w:r>
        <w:rPr/>
        <w:t>rouges</w:t>
      </w:r>
      <w:r>
        <w:rPr>
          <w:spacing w:val="7"/>
        </w:rPr>
        <w:t> </w:t>
      </w:r>
      <w:r>
        <w:rPr/>
        <w:t>représentent</w:t>
      </w:r>
      <w:r>
        <w:rPr>
          <w:spacing w:val="6"/>
        </w:rPr>
        <w:t> </w:t>
      </w:r>
      <w:r>
        <w:rPr/>
        <w:t>53%,</w:t>
      </w:r>
      <w:r>
        <w:rPr>
          <w:spacing w:val="6"/>
        </w:rPr>
        <w:t> </w:t>
      </w:r>
      <w:r>
        <w:rPr/>
        <w:t>les</w:t>
      </w:r>
      <w:r>
        <w:rPr>
          <w:spacing w:val="7"/>
        </w:rPr>
        <w:t> </w:t>
      </w:r>
      <w:r>
        <w:rPr/>
        <w:t>vins</w:t>
      </w:r>
      <w:r>
        <w:rPr>
          <w:spacing w:val="6"/>
        </w:rPr>
        <w:t> </w:t>
      </w:r>
      <w:r>
        <w:rPr/>
        <w:t>blancs</w:t>
      </w:r>
      <w:r>
        <w:rPr>
          <w:spacing w:val="6"/>
        </w:rPr>
        <w:t> </w:t>
      </w:r>
      <w:r>
        <w:rPr/>
        <w:t>35%</w:t>
      </w:r>
      <w:r>
        <w:rPr>
          <w:spacing w:val="7"/>
        </w:rPr>
        <w:t> </w:t>
      </w:r>
      <w:r>
        <w:rPr/>
        <w:t>et</w:t>
      </w:r>
      <w:r>
        <w:rPr>
          <w:spacing w:val="6"/>
        </w:rPr>
        <w:t> </w:t>
      </w:r>
      <w:r>
        <w:rPr/>
        <w:t>les</w:t>
      </w:r>
      <w:r>
        <w:rPr>
          <w:spacing w:val="6"/>
        </w:rPr>
        <w:t> </w:t>
      </w:r>
      <w:r>
        <w:rPr/>
        <w:t>rosés</w:t>
      </w:r>
      <w:r>
        <w:rPr>
          <w:spacing w:val="7"/>
        </w:rPr>
        <w:t> </w:t>
      </w:r>
      <w:r>
        <w:rPr/>
        <w:t>4%</w:t>
      </w:r>
    </w:p>
    <w:p>
      <w:pPr>
        <w:pStyle w:val="BodyText"/>
        <w:spacing w:before="8"/>
        <w:rPr>
          <w:sz w:val="26"/>
        </w:rPr>
      </w:pPr>
      <w:r>
        <w:rPr/>
        <w:drawing>
          <wp:anchor distT="0" distB="0" distL="0" distR="0" allowOverlap="1" layoutInCell="1" locked="0" behindDoc="0" simplePos="0" relativeHeight="10">
            <wp:simplePos x="0" y="0"/>
            <wp:positionH relativeFrom="page">
              <wp:posOffset>825476</wp:posOffset>
            </wp:positionH>
            <wp:positionV relativeFrom="paragraph">
              <wp:posOffset>220059</wp:posOffset>
            </wp:positionV>
            <wp:extent cx="2199131" cy="1649349"/>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2199131" cy="1649349"/>
                    </a:xfrm>
                    <a:prstGeom prst="rect">
                      <a:avLst/>
                    </a:prstGeom>
                  </pic:spPr>
                </pic:pic>
              </a:graphicData>
            </a:graphic>
          </wp:anchor>
        </w:drawing>
      </w:r>
    </w:p>
    <w:p>
      <w:pPr>
        <w:pStyle w:val="BodyText"/>
        <w:spacing w:before="2"/>
      </w:pPr>
    </w:p>
    <w:p>
      <w:pPr>
        <w:spacing w:line="232" w:lineRule="auto" w:before="0"/>
        <w:ind w:left="400" w:right="283" w:firstLine="0"/>
        <w:jc w:val="center"/>
        <w:rPr>
          <w:i/>
          <w:sz w:val="18"/>
        </w:rPr>
      </w:pPr>
      <w:r>
        <w:rPr>
          <w:i/>
          <w:sz w:val="18"/>
        </w:rPr>
        <w:t>La promotion et Adrian Abdool, agent pour Chateau des Charmes, </w:t>
      </w:r>
      <w:r>
        <w:rPr>
          <w:i/>
          <w:sz w:val="18"/>
        </w:rPr>
        <w:t>devant le principal magasin LCBO à Toronto</w:t>
      </w:r>
    </w:p>
    <w:p>
      <w:pPr>
        <w:pStyle w:val="BodyText"/>
        <w:spacing w:before="8"/>
        <w:rPr>
          <w:i/>
          <w:sz w:val="27"/>
        </w:rPr>
      </w:pPr>
    </w:p>
    <w:p>
      <w:pPr>
        <w:pStyle w:val="Heading2"/>
        <w:spacing w:line="256" w:lineRule="auto"/>
        <w:ind w:left="400"/>
        <w:rPr>
          <w:i/>
        </w:rPr>
      </w:pPr>
      <w:r>
        <w:rPr>
          <w:i/>
          <w:color w:val="B51700"/>
        </w:rPr>
        <w:t>La</w:t>
      </w:r>
      <w:r>
        <w:rPr>
          <w:i/>
          <w:color w:val="B51700"/>
          <w:spacing w:val="-34"/>
        </w:rPr>
        <w:t> </w:t>
      </w:r>
      <w:r>
        <w:rPr>
          <w:i/>
          <w:color w:val="B51700"/>
        </w:rPr>
        <w:t>production</w:t>
      </w:r>
      <w:r>
        <w:rPr>
          <w:i/>
          <w:color w:val="B51700"/>
          <w:spacing w:val="-33"/>
        </w:rPr>
        <w:t> </w:t>
      </w:r>
      <w:r>
        <w:rPr>
          <w:i/>
          <w:color w:val="B51700"/>
        </w:rPr>
        <w:t>de</w:t>
      </w:r>
      <w:r>
        <w:rPr>
          <w:i/>
          <w:color w:val="B51700"/>
          <w:spacing w:val="-34"/>
        </w:rPr>
        <w:t> </w:t>
      </w:r>
      <w:r>
        <w:rPr>
          <w:i/>
          <w:color w:val="B51700"/>
        </w:rPr>
        <w:t>vins</w:t>
      </w:r>
      <w:r>
        <w:rPr>
          <w:i/>
          <w:color w:val="B51700"/>
          <w:spacing w:val="-33"/>
        </w:rPr>
        <w:t> </w:t>
      </w:r>
      <w:r>
        <w:rPr>
          <w:i/>
          <w:color w:val="B51700"/>
        </w:rPr>
        <w:t>au</w:t>
      </w:r>
      <w:r>
        <w:rPr>
          <w:i/>
          <w:color w:val="B51700"/>
          <w:spacing w:val="-33"/>
        </w:rPr>
        <w:t> </w:t>
      </w:r>
      <w:r>
        <w:rPr>
          <w:i/>
          <w:color w:val="B51700"/>
        </w:rPr>
        <w:t>Canada</w:t>
      </w:r>
      <w:r>
        <w:rPr>
          <w:i/>
          <w:color w:val="B51700"/>
          <w:spacing w:val="-34"/>
        </w:rPr>
        <w:t> </w:t>
      </w:r>
      <w:r>
        <w:rPr>
          <w:i/>
          <w:color w:val="B51700"/>
        </w:rPr>
        <w:t>:</w:t>
      </w:r>
      <w:r>
        <w:rPr>
          <w:i/>
          <w:color w:val="B51700"/>
          <w:spacing w:val="-33"/>
        </w:rPr>
        <w:t> </w:t>
      </w:r>
      <w:r>
        <w:rPr>
          <w:i/>
          <w:color w:val="B51700"/>
        </w:rPr>
        <w:t>Ravine</w:t>
      </w:r>
      <w:r>
        <w:rPr>
          <w:i/>
          <w:color w:val="B51700"/>
          <w:spacing w:val="-40"/>
        </w:rPr>
        <w:t> </w:t>
      </w:r>
      <w:r>
        <w:rPr>
          <w:i/>
          <w:color w:val="B51700"/>
          <w:spacing w:val="-7"/>
        </w:rPr>
        <w:t>Vineyard, </w:t>
      </w:r>
      <w:r>
        <w:rPr>
          <w:color w:val="B51700"/>
          <w:w w:val="95"/>
        </w:rPr>
        <w:t>Konzelmann Estate </w:t>
      </w:r>
      <w:r>
        <w:rPr>
          <w:color w:val="B51700"/>
          <w:spacing w:val="-6"/>
          <w:w w:val="95"/>
        </w:rPr>
        <w:t>Winery, </w:t>
      </w:r>
      <w:r>
        <w:rPr>
          <w:color w:val="B51700"/>
          <w:w w:val="95"/>
        </w:rPr>
        <w:t>Château des Charmes, </w:t>
      </w:r>
      <w:r>
        <w:rPr>
          <w:color w:val="B51700"/>
          <w:spacing w:val="-4"/>
        </w:rPr>
        <w:t>Arterra </w:t>
      </w:r>
      <w:r>
        <w:rPr>
          <w:color w:val="B51700"/>
        </w:rPr>
        <w:t>et</w:t>
      </w:r>
      <w:r>
        <w:rPr>
          <w:color w:val="B51700"/>
          <w:spacing w:val="-20"/>
        </w:rPr>
        <w:t> </w:t>
      </w:r>
      <w:r>
        <w:rPr>
          <w:color w:val="B51700"/>
        </w:rPr>
        <w:t>Inniski</w:t>
      </w:r>
      <w:r>
        <w:rPr>
          <w:rFonts w:ascii="Arial" w:hAnsi="Arial"/>
          <w:i/>
          <w:color w:val="B51700"/>
        </w:rPr>
        <w:t>ll</w:t>
      </w:r>
      <w:r>
        <w:rPr>
          <w:i/>
          <w:color w:val="B51700"/>
        </w:rPr>
        <w:t>in</w:t>
      </w:r>
    </w:p>
    <w:p>
      <w:pPr>
        <w:pStyle w:val="BodyText"/>
        <w:spacing w:before="10"/>
        <w:rPr>
          <w:i/>
          <w:sz w:val="22"/>
        </w:rPr>
      </w:pPr>
    </w:p>
    <w:p>
      <w:pPr>
        <w:pStyle w:val="BodyText"/>
        <w:spacing w:line="230" w:lineRule="auto"/>
        <w:ind w:left="140" w:right="41"/>
        <w:jc w:val="both"/>
      </w:pPr>
      <w:r>
        <w:rPr/>
        <w:t>Le Canada est connu pour sa production de Ice Wines car il en est un des plus grand producteur. 95% des Ice Wine canadiens proviennent de la région Ontario. Le processus de production de ces vins est réglementé, avec une récolte à -10°C, une fermentation longue et fastidieuse pour les levures, ce qui explique le taux d’alcool faible de ce vin à 9,5°. Un organisme indépendant effectue un audit afin de s’assurer de la qualité. </w:t>
      </w:r>
      <w:r>
        <w:rPr>
          <w:spacing w:val="-3"/>
        </w:rPr>
        <w:t>L’Ontario </w:t>
      </w:r>
      <w:r>
        <w:rPr/>
        <w:t>produit aussi d’autres vins très variés. Au programme, la visite de </w:t>
      </w:r>
      <w:r>
        <w:rPr>
          <w:b/>
        </w:rPr>
        <w:t>4 des domaines vitivinicoles influents du marché </w:t>
      </w:r>
      <w:r>
        <w:rPr/>
        <w:t>: Ravine Vineyard, Konzelmann Estate Winery et Château des Charmes.</w:t>
      </w:r>
    </w:p>
    <w:p>
      <w:pPr>
        <w:spacing w:line="230" w:lineRule="auto" w:before="0"/>
        <w:ind w:left="140" w:right="41" w:firstLine="0"/>
        <w:jc w:val="both"/>
        <w:rPr>
          <w:b/>
          <w:sz w:val="20"/>
        </w:rPr>
      </w:pPr>
      <w:r>
        <w:rPr>
          <w:sz w:val="20"/>
        </w:rPr>
        <w:t>Tous ces domaines utilisent la </w:t>
      </w:r>
      <w:r>
        <w:rPr>
          <w:b/>
          <w:sz w:val="20"/>
        </w:rPr>
        <w:t>technique du buttage </w:t>
      </w:r>
      <w:r>
        <w:rPr>
          <w:sz w:val="20"/>
        </w:rPr>
        <w:t>(protection des vignes durant l’hiver), </w:t>
      </w:r>
      <w:r>
        <w:rPr>
          <w:b/>
          <w:sz w:val="20"/>
        </w:rPr>
        <w:t>pratiquent une taille haute </w:t>
      </w:r>
      <w:r>
        <w:rPr>
          <w:sz w:val="20"/>
        </w:rPr>
        <w:t>(maximiser la production, sachant que la période végétative est très courte), </w:t>
      </w:r>
      <w:r>
        <w:rPr>
          <w:b/>
          <w:sz w:val="20"/>
        </w:rPr>
        <w:t>testent différents cépages</w:t>
      </w:r>
      <w:r>
        <w:rPr>
          <w:sz w:val="20"/>
        </w:rPr>
        <w:t>, développent le </w:t>
      </w:r>
      <w:r>
        <w:rPr>
          <w:b/>
          <w:sz w:val="20"/>
        </w:rPr>
        <w:t>développement durable </w:t>
      </w:r>
      <w:r>
        <w:rPr>
          <w:sz w:val="20"/>
        </w:rPr>
        <w:t>et doivent </w:t>
      </w:r>
      <w:r>
        <w:rPr>
          <w:b/>
          <w:sz w:val="20"/>
        </w:rPr>
        <w:t>adapter leurs pratiques à des températures très variables.</w:t>
      </w:r>
    </w:p>
    <w:p>
      <w:pPr>
        <w:spacing w:line="230" w:lineRule="auto" w:before="0"/>
        <w:ind w:left="140" w:right="41" w:firstLine="0"/>
        <w:jc w:val="both"/>
        <w:rPr>
          <w:sz w:val="20"/>
        </w:rPr>
      </w:pPr>
      <w:r>
        <w:rPr>
          <w:sz w:val="20"/>
        </w:rPr>
        <w:t>Notre première rencontre s’est réalisée au domaine </w:t>
      </w:r>
      <w:r>
        <w:rPr>
          <w:b/>
          <w:sz w:val="20"/>
        </w:rPr>
        <w:t>Ravine Vineyard</w:t>
      </w:r>
      <w:r>
        <w:rPr>
          <w:sz w:val="20"/>
        </w:rPr>
        <w:t>, producteur de vin biologique et biodynamique. C’est aujourd’hui la cinquième génération qui produit des </w:t>
      </w:r>
      <w:r>
        <w:rPr>
          <w:b/>
          <w:sz w:val="20"/>
        </w:rPr>
        <w:t>vins blancs, rouges rosés, Ice Wines, effervescents et cidres </w:t>
      </w:r>
      <w:r>
        <w:rPr>
          <w:sz w:val="20"/>
        </w:rPr>
        <w:t>de pommes, pêches et poires. Ils produisent </w:t>
      </w:r>
      <w:r>
        <w:rPr>
          <w:b/>
          <w:sz w:val="20"/>
        </w:rPr>
        <w:t>144 000 bouteilles </w:t>
      </w:r>
      <w:r>
        <w:rPr>
          <w:sz w:val="20"/>
        </w:rPr>
        <w:t>par an dont des vins à base de </w:t>
      </w:r>
      <w:r>
        <w:rPr>
          <w:b/>
          <w:sz w:val="20"/>
        </w:rPr>
        <w:t>cépages européens (</w:t>
      </w:r>
      <w:r>
        <w:rPr>
          <w:sz w:val="20"/>
        </w:rPr>
        <w:t>Riesling, Cabernet Sauvignon Chardonnay).</w:t>
      </w:r>
    </w:p>
    <w:p>
      <w:pPr>
        <w:spacing w:line="230" w:lineRule="auto" w:before="0"/>
        <w:ind w:left="140" w:right="41" w:firstLine="0"/>
        <w:jc w:val="both"/>
        <w:rPr>
          <w:sz w:val="20"/>
        </w:rPr>
      </w:pPr>
      <w:r>
        <w:rPr>
          <w:sz w:val="20"/>
        </w:rPr>
        <w:t>Le domaine </w:t>
      </w:r>
      <w:r>
        <w:rPr>
          <w:b/>
          <w:sz w:val="20"/>
        </w:rPr>
        <w:t>Konzelmann Estate Winery </w:t>
      </w:r>
      <w:r>
        <w:rPr>
          <w:sz w:val="20"/>
        </w:rPr>
        <w:t>est quant à lui, le </w:t>
      </w:r>
      <w:r>
        <w:rPr>
          <w:b/>
          <w:sz w:val="20"/>
        </w:rPr>
        <w:t>deuxième domaine à avoir reçu une licence de production/distribution de vins</w:t>
      </w:r>
      <w:r>
        <w:rPr>
          <w:sz w:val="20"/>
        </w:rPr>
        <w:t>. Avec une production de plus de </w:t>
      </w:r>
      <w:r>
        <w:rPr>
          <w:b/>
          <w:sz w:val="20"/>
        </w:rPr>
        <w:t>500 000 bouteilles </w:t>
      </w:r>
      <w:r>
        <w:rPr>
          <w:sz w:val="20"/>
        </w:rPr>
        <w:t>par an, il est connu pour son emplacement au bord du lac Ontario. Les vignes bénéficient ainsi d’un microclimat qui les protège du gel.</w:t>
      </w:r>
    </w:p>
    <w:p>
      <w:pPr>
        <w:spacing w:line="230" w:lineRule="auto" w:before="0"/>
        <w:ind w:left="140" w:right="38" w:firstLine="0"/>
        <w:jc w:val="both"/>
        <w:rPr>
          <w:sz w:val="20"/>
        </w:rPr>
      </w:pPr>
      <w:r>
        <w:rPr>
          <w:sz w:val="20"/>
        </w:rPr>
        <w:t>Le domaine </w:t>
      </w:r>
      <w:r>
        <w:rPr>
          <w:b/>
          <w:sz w:val="20"/>
        </w:rPr>
        <w:t>Château des Charmes </w:t>
      </w:r>
      <w:r>
        <w:rPr>
          <w:sz w:val="20"/>
        </w:rPr>
        <w:t>exploite </w:t>
      </w:r>
      <w:r>
        <w:rPr>
          <w:b/>
          <w:sz w:val="20"/>
        </w:rPr>
        <w:t>100 hectares sur 4 vignobles aux climats différents</w:t>
      </w:r>
      <w:r>
        <w:rPr>
          <w:sz w:val="20"/>
        </w:rPr>
        <w:t>, ce qui permet de créer des vins caractéristiques de chaque terroir. </w:t>
      </w:r>
      <w:r>
        <w:rPr>
          <w:b/>
          <w:sz w:val="20"/>
        </w:rPr>
        <w:t>C'est le premier domaine à utiliser des "wind machines » </w:t>
      </w:r>
      <w:r>
        <w:rPr>
          <w:sz w:val="20"/>
        </w:rPr>
        <w:t>(éoliennes), qui protègent les vignes des gelées (jusqu’à 10°C supplémentaires).</w:t>
      </w:r>
    </w:p>
    <w:p>
      <w:pPr>
        <w:pStyle w:val="BodyText"/>
        <w:spacing w:line="230" w:lineRule="auto"/>
        <w:ind w:left="140" w:right="41"/>
        <w:jc w:val="both"/>
      </w:pPr>
      <w:r>
        <w:rPr/>
        <w:t>Enfin, </w:t>
      </w:r>
      <w:r>
        <w:rPr>
          <w:b/>
        </w:rPr>
        <w:t>Inniskillin</w:t>
      </w:r>
      <w:r>
        <w:rPr/>
        <w:t>, filiale du domaine </w:t>
      </w:r>
      <w:r>
        <w:rPr>
          <w:b/>
        </w:rPr>
        <w:t>Arterra</w:t>
      </w:r>
      <w:r>
        <w:rPr/>
        <w:t>, opérateur n°1 en Ontario. Inniskillin est le </w:t>
      </w:r>
      <w:r>
        <w:rPr>
          <w:b/>
        </w:rPr>
        <w:t>domaine par excellence des Ice Wines</w:t>
      </w:r>
      <w:r>
        <w:rPr/>
        <w:t>.. Nous avons pu échanger lors d’une visite, avec Manon, ex étudiante CIVS, chargée du sourcing pour le groupe n°1 de vins sud africain. Manon travaille depuis 8 ans au Canada.</w:t>
      </w:r>
    </w:p>
    <w:p>
      <w:pPr>
        <w:pStyle w:val="BodyText"/>
        <w:spacing w:before="4"/>
        <w:rPr>
          <w:sz w:val="27"/>
        </w:rPr>
      </w:pPr>
      <w:r>
        <w:rPr/>
        <w:br w:type="column"/>
      </w:r>
      <w:r>
        <w:rPr>
          <w:sz w:val="27"/>
        </w:rPr>
      </w:r>
    </w:p>
    <w:p>
      <w:pPr>
        <w:pStyle w:val="Heading3"/>
        <w:spacing w:line="242" w:lineRule="auto"/>
        <w:ind w:hanging="7"/>
      </w:pPr>
      <w:r>
        <w:rPr>
          <w:i/>
          <w:color w:val="B51700"/>
          <w:spacing w:val="-3"/>
        </w:rPr>
        <w:t>Vintners</w:t>
      </w:r>
      <w:r>
        <w:rPr>
          <w:i/>
          <w:color w:val="B51700"/>
          <w:spacing w:val="-31"/>
        </w:rPr>
        <w:t> </w:t>
      </w:r>
      <w:r>
        <w:rPr>
          <w:i/>
          <w:color w:val="B51700"/>
        </w:rPr>
        <w:t>Quality</w:t>
      </w:r>
      <w:r>
        <w:rPr>
          <w:i/>
          <w:color w:val="B51700"/>
          <w:spacing w:val="-40"/>
        </w:rPr>
        <w:t> </w:t>
      </w:r>
      <w:r>
        <w:rPr>
          <w:i/>
          <w:color w:val="B51700"/>
        </w:rPr>
        <w:t>A</w:t>
      </w:r>
      <w:r>
        <w:rPr>
          <w:rFonts w:ascii="Arial" w:hAnsi="Arial"/>
          <w:i/>
          <w:color w:val="B51700"/>
        </w:rPr>
        <w:t>ll</w:t>
      </w:r>
      <w:r>
        <w:rPr>
          <w:i/>
          <w:color w:val="B51700"/>
        </w:rPr>
        <w:t>iance,</w:t>
      </w:r>
      <w:r>
        <w:rPr>
          <w:i/>
          <w:color w:val="B51700"/>
          <w:spacing w:val="-31"/>
        </w:rPr>
        <w:t> </w:t>
      </w:r>
      <w:r>
        <w:rPr>
          <w:i/>
          <w:color w:val="B51700"/>
        </w:rPr>
        <w:t>une</w:t>
      </w:r>
      <w:r>
        <w:rPr>
          <w:i/>
          <w:color w:val="B51700"/>
          <w:spacing w:val="-31"/>
        </w:rPr>
        <w:t> </w:t>
      </w:r>
      <w:r>
        <w:rPr>
          <w:i/>
          <w:color w:val="B51700"/>
        </w:rPr>
        <w:t>appe</w:t>
      </w:r>
      <w:r>
        <w:rPr>
          <w:rFonts w:ascii="Arial" w:hAnsi="Arial"/>
          <w:i/>
          <w:color w:val="B51700"/>
        </w:rPr>
        <w:t>ll</w:t>
      </w:r>
      <w:r>
        <w:rPr>
          <w:i/>
          <w:color w:val="B51700"/>
        </w:rPr>
        <w:t>ation</w:t>
      </w:r>
      <w:r>
        <w:rPr>
          <w:i/>
          <w:color w:val="B51700"/>
          <w:spacing w:val="-31"/>
        </w:rPr>
        <w:t> </w:t>
      </w:r>
      <w:r>
        <w:rPr>
          <w:i/>
          <w:color w:val="B51700"/>
        </w:rPr>
        <w:t>sur</w:t>
      </w:r>
      <w:r>
        <w:rPr>
          <w:i/>
          <w:color w:val="B51700"/>
          <w:spacing w:val="-31"/>
        </w:rPr>
        <w:t> </w:t>
      </w:r>
      <w:r>
        <w:rPr>
          <w:i/>
          <w:color w:val="B51700"/>
        </w:rPr>
        <w:t>laque</w:t>
      </w:r>
      <w:r>
        <w:rPr>
          <w:rFonts w:ascii="Arial" w:hAnsi="Arial"/>
          <w:i/>
          <w:color w:val="B51700"/>
        </w:rPr>
        <w:t>ll</w:t>
      </w:r>
      <w:r>
        <w:rPr>
          <w:i/>
          <w:color w:val="B51700"/>
        </w:rPr>
        <w:t>e </w:t>
      </w:r>
      <w:r>
        <w:rPr>
          <w:color w:val="B51700"/>
          <w:w w:val="93"/>
        </w:rPr>
        <w:t>communique</w:t>
      </w:r>
      <w:r>
        <w:rPr>
          <w:color w:val="B51700"/>
          <w:spacing w:val="-11"/>
        </w:rPr>
        <w:t> </w:t>
      </w:r>
      <w:r>
        <w:rPr>
          <w:color w:val="B51700"/>
          <w:spacing w:val="13"/>
          <w:w w:val="96"/>
        </w:rPr>
        <w:t>l</w:t>
      </w:r>
      <w:r>
        <w:rPr>
          <w:color w:val="B51700"/>
          <w:spacing w:val="-22"/>
          <w:w w:val="43"/>
        </w:rPr>
        <w:t>’</w:t>
      </w:r>
      <w:r>
        <w:rPr>
          <w:color w:val="B51700"/>
          <w:w w:val="89"/>
        </w:rPr>
        <w:t>association</w:t>
      </w:r>
      <w:r>
        <w:rPr>
          <w:color w:val="B51700"/>
          <w:spacing w:val="-11"/>
        </w:rPr>
        <w:t> </w:t>
      </w:r>
      <w:r>
        <w:rPr>
          <w:color w:val="B51700"/>
          <w:w w:val="88"/>
        </w:rPr>
        <w:t>de</w:t>
      </w:r>
      <w:r>
        <w:rPr>
          <w:color w:val="B51700"/>
          <w:spacing w:val="-11"/>
        </w:rPr>
        <w:t> </w:t>
      </w:r>
      <w:r>
        <w:rPr>
          <w:color w:val="B51700"/>
          <w:w w:val="91"/>
        </w:rPr>
        <w:t>protection</w:t>
      </w:r>
      <w:r>
        <w:rPr>
          <w:color w:val="B51700"/>
          <w:spacing w:val="-11"/>
        </w:rPr>
        <w:t> </w:t>
      </w:r>
      <w:r>
        <w:rPr>
          <w:color w:val="B51700"/>
          <w:w w:val="84"/>
        </w:rPr>
        <w:t>des</w:t>
      </w:r>
      <w:r>
        <w:rPr>
          <w:color w:val="B51700"/>
          <w:spacing w:val="-11"/>
        </w:rPr>
        <w:t> </w:t>
      </w:r>
      <w:r>
        <w:rPr>
          <w:color w:val="B51700"/>
          <w:w w:val="99"/>
        </w:rPr>
        <w:t>vins</w:t>
      </w:r>
      <w:r>
        <w:rPr>
          <w:color w:val="B51700"/>
          <w:spacing w:val="-11"/>
        </w:rPr>
        <w:t> </w:t>
      </w:r>
      <w:r>
        <w:rPr>
          <w:color w:val="B51700"/>
          <w:w w:val="88"/>
        </w:rPr>
        <w:t>en</w:t>
      </w:r>
      <w:r>
        <w:rPr>
          <w:color w:val="B51700"/>
          <w:spacing w:val="-11"/>
        </w:rPr>
        <w:t> </w:t>
      </w:r>
      <w:r>
        <w:rPr>
          <w:color w:val="B51700"/>
          <w:w w:val="97"/>
        </w:rPr>
        <w:t>Ontario</w:t>
      </w:r>
      <w:r>
        <w:rPr>
          <w:color w:val="B51700"/>
          <w:spacing w:val="-11"/>
        </w:rPr>
        <w:t> </w:t>
      </w:r>
      <w:r>
        <w:rPr>
          <w:color w:val="B51700"/>
          <w:spacing w:val="-16"/>
          <w:w w:val="91"/>
        </w:rPr>
        <w:t>,</w:t>
      </w:r>
      <w:r>
        <w:rPr>
          <w:color w:val="B51700"/>
          <w:w w:val="91"/>
        </w:rPr>
        <w:t> </w:t>
      </w:r>
      <w:r>
        <w:rPr>
          <w:color w:val="B51700"/>
        </w:rPr>
        <w:t>la </w:t>
      </w:r>
      <w:r>
        <w:rPr>
          <w:color w:val="B51700"/>
          <w:spacing w:val="-5"/>
        </w:rPr>
        <w:t>Wine </w:t>
      </w:r>
      <w:r>
        <w:rPr>
          <w:color w:val="B51700"/>
        </w:rPr>
        <w:t>Country</w:t>
      </w:r>
      <w:r>
        <w:rPr>
          <w:color w:val="B51700"/>
          <w:spacing w:val="-41"/>
        </w:rPr>
        <w:t> </w:t>
      </w:r>
      <w:r>
        <w:rPr>
          <w:color w:val="B51700"/>
        </w:rPr>
        <w:t>Ontario</w:t>
      </w:r>
    </w:p>
    <w:p>
      <w:pPr>
        <w:pStyle w:val="BodyText"/>
        <w:spacing w:before="4"/>
        <w:rPr>
          <w:i/>
          <w:sz w:val="23"/>
        </w:rPr>
      </w:pPr>
    </w:p>
    <w:p>
      <w:pPr>
        <w:pStyle w:val="BodyText"/>
        <w:spacing w:line="230" w:lineRule="auto"/>
        <w:ind w:left="260" w:right="112"/>
        <w:jc w:val="both"/>
      </w:pPr>
      <w:r>
        <w:rPr>
          <w:b/>
          <w:color w:val="1C1E21"/>
        </w:rPr>
        <w:t>VQA </w:t>
      </w:r>
      <w:r>
        <w:rPr>
          <w:color w:val="1C1E21"/>
        </w:rPr>
        <w:t>(Vintners Quality Alliance) est l’appellation des vins provenant de </w:t>
      </w:r>
      <w:r>
        <w:rPr>
          <w:b/>
          <w:color w:val="1C1E21"/>
        </w:rPr>
        <w:t>raisins issus exclusivement de l’Ontario </w:t>
      </w:r>
      <w:r>
        <w:rPr>
          <w:color w:val="1C1E21"/>
        </w:rPr>
        <w:t>et concerne tous les types de vins. 182 domaines sont concernés par cette appellation avec une production totale de </w:t>
      </w:r>
      <w:r>
        <w:rPr>
          <w:b/>
          <w:color w:val="1C1E21"/>
        </w:rPr>
        <w:t>30 millions de bouteilles par an. </w:t>
      </w:r>
      <w:r>
        <w:rPr>
          <w:color w:val="1C1E21"/>
        </w:rPr>
        <w:t>Nous avons rencontré la directrice des relations publiques, marketing et tourisme de l’association Wine Country Ontario, qui réalise </w:t>
      </w:r>
      <w:r>
        <w:rPr>
          <w:b/>
          <w:color w:val="1C1E21"/>
        </w:rPr>
        <w:t>la promotion des vins de la région</w:t>
      </w:r>
      <w:r>
        <w:rPr>
          <w:color w:val="1C1E21"/>
        </w:rPr>
        <w:t>. Nous avons pu comprendre l’impact des grands lacs en Ontario sur le climat et le sol. L’association met en valeurs les vins de cette région grâce à des </w:t>
      </w:r>
      <w:r>
        <w:rPr>
          <w:b/>
          <w:color w:val="1C1E21"/>
        </w:rPr>
        <w:t>actions de communication </w:t>
      </w:r>
      <w:r>
        <w:rPr>
          <w:color w:val="1C1E21"/>
        </w:rPr>
        <w:t>auprès des consommateurs, voyageurs et prescripteurs, ainsi que par les réseaux sociaux et des « travel guide » distribués aux professionnels comme aux consommateurs.</w:t>
      </w:r>
    </w:p>
    <w:p>
      <w:pPr>
        <w:pStyle w:val="BodyText"/>
      </w:pPr>
    </w:p>
    <w:p>
      <w:pPr>
        <w:pStyle w:val="BodyText"/>
        <w:spacing w:before="1"/>
        <w:rPr>
          <w:sz w:val="14"/>
        </w:rPr>
      </w:pPr>
      <w:r>
        <w:rPr/>
        <w:drawing>
          <wp:anchor distT="0" distB="0" distL="0" distR="0" allowOverlap="1" layoutInCell="1" locked="0" behindDoc="0" simplePos="0" relativeHeight="11">
            <wp:simplePos x="0" y="0"/>
            <wp:positionH relativeFrom="page">
              <wp:posOffset>4228222</wp:posOffset>
            </wp:positionH>
            <wp:positionV relativeFrom="paragraph">
              <wp:posOffset>127971</wp:posOffset>
            </wp:positionV>
            <wp:extent cx="2731515" cy="2048637"/>
            <wp:effectExtent l="0" t="0" r="0" b="0"/>
            <wp:wrapTopAndBottom/>
            <wp:docPr id="7" name="image6.jpeg"/>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2731515" cy="2048637"/>
                    </a:xfrm>
                    <a:prstGeom prst="rect">
                      <a:avLst/>
                    </a:prstGeom>
                  </pic:spPr>
                </pic:pic>
              </a:graphicData>
            </a:graphic>
          </wp:anchor>
        </w:drawing>
      </w:r>
    </w:p>
    <w:p>
      <w:pPr>
        <w:spacing w:line="232" w:lineRule="auto" w:before="20"/>
        <w:ind w:left="500" w:right="1037" w:hanging="12"/>
        <w:jc w:val="center"/>
        <w:rPr>
          <w:i/>
          <w:sz w:val="18"/>
        </w:rPr>
      </w:pPr>
      <w:r>
        <w:rPr>
          <w:i/>
          <w:sz w:val="18"/>
        </w:rPr>
        <w:t>Les étudiants en compagnie de Magdalena </w:t>
      </w:r>
      <w:r>
        <w:rPr>
          <w:i/>
          <w:spacing w:val="-3"/>
          <w:sz w:val="18"/>
        </w:rPr>
        <w:t>Kaiser, </w:t>
      </w:r>
      <w:r>
        <w:rPr>
          <w:i/>
          <w:sz w:val="18"/>
        </w:rPr>
        <w:t>directrice des relations publiques, marketing et tourisme </w:t>
      </w:r>
      <w:r>
        <w:rPr>
          <w:i/>
          <w:spacing w:val="-6"/>
          <w:sz w:val="18"/>
        </w:rPr>
        <w:t>de </w:t>
      </w:r>
      <w:r>
        <w:rPr>
          <w:i/>
          <w:sz w:val="18"/>
        </w:rPr>
        <w:t>l’association </w:t>
      </w:r>
      <w:r>
        <w:rPr>
          <w:i/>
          <w:spacing w:val="-3"/>
          <w:sz w:val="18"/>
        </w:rPr>
        <w:t>Wine </w:t>
      </w:r>
      <w:r>
        <w:rPr>
          <w:i/>
          <w:sz w:val="18"/>
        </w:rPr>
        <w:t>Country Ontario à Niagarta Falls.</w:t>
      </w:r>
    </w:p>
    <w:p>
      <w:pPr>
        <w:pStyle w:val="BodyText"/>
        <w:rPr>
          <w:i/>
        </w:rPr>
      </w:pPr>
    </w:p>
    <w:p>
      <w:pPr>
        <w:pStyle w:val="Heading3"/>
        <w:spacing w:line="242" w:lineRule="auto" w:before="167"/>
        <w:ind w:left="380" w:right="458"/>
        <w:rPr>
          <w:i/>
        </w:rPr>
      </w:pPr>
      <w:r>
        <w:rPr>
          <w:i/>
          <w:color w:val="B51700"/>
          <w:w w:val="95"/>
        </w:rPr>
        <w:t>Les</w:t>
      </w:r>
      <w:r>
        <w:rPr>
          <w:i/>
          <w:color w:val="B51700"/>
          <w:spacing w:val="-21"/>
          <w:w w:val="95"/>
        </w:rPr>
        <w:t> </w:t>
      </w:r>
      <w:r>
        <w:rPr>
          <w:i/>
          <w:color w:val="B51700"/>
          <w:w w:val="95"/>
        </w:rPr>
        <w:t>spiritueux</w:t>
      </w:r>
      <w:r>
        <w:rPr>
          <w:i/>
          <w:color w:val="B51700"/>
          <w:spacing w:val="-20"/>
          <w:w w:val="95"/>
        </w:rPr>
        <w:t> </w:t>
      </w:r>
      <w:r>
        <w:rPr>
          <w:i/>
          <w:color w:val="B51700"/>
          <w:w w:val="95"/>
        </w:rPr>
        <w:t>en</w:t>
      </w:r>
      <w:r>
        <w:rPr>
          <w:i/>
          <w:color w:val="B51700"/>
          <w:spacing w:val="-20"/>
          <w:w w:val="95"/>
        </w:rPr>
        <w:t> </w:t>
      </w:r>
      <w:r>
        <w:rPr>
          <w:i/>
          <w:color w:val="B51700"/>
          <w:w w:val="95"/>
        </w:rPr>
        <w:t>Ontario,</w:t>
      </w:r>
      <w:r>
        <w:rPr>
          <w:i/>
          <w:color w:val="B51700"/>
          <w:spacing w:val="-21"/>
          <w:w w:val="95"/>
        </w:rPr>
        <w:t> </w:t>
      </w:r>
      <w:r>
        <w:rPr>
          <w:i/>
          <w:color w:val="B51700"/>
          <w:w w:val="95"/>
        </w:rPr>
        <w:t>deux</w:t>
      </w:r>
      <w:r>
        <w:rPr>
          <w:i/>
          <w:color w:val="B51700"/>
          <w:spacing w:val="-20"/>
          <w:w w:val="95"/>
        </w:rPr>
        <w:t> </w:t>
      </w:r>
      <w:r>
        <w:rPr>
          <w:i/>
          <w:color w:val="B51700"/>
          <w:w w:val="95"/>
        </w:rPr>
        <w:t>acteurs</w:t>
      </w:r>
      <w:r>
        <w:rPr>
          <w:i/>
          <w:color w:val="B51700"/>
          <w:spacing w:val="-21"/>
          <w:w w:val="95"/>
        </w:rPr>
        <w:t> </w:t>
      </w:r>
      <w:r>
        <w:rPr>
          <w:i/>
          <w:color w:val="B51700"/>
          <w:w w:val="95"/>
        </w:rPr>
        <w:t>historiques</w:t>
      </w:r>
      <w:r>
        <w:rPr>
          <w:i/>
          <w:color w:val="B51700"/>
          <w:spacing w:val="-20"/>
          <w:w w:val="95"/>
        </w:rPr>
        <w:t> </w:t>
      </w:r>
      <w:r>
        <w:rPr>
          <w:i/>
          <w:color w:val="B51700"/>
          <w:w w:val="95"/>
        </w:rPr>
        <w:t>:</w:t>
      </w:r>
      <w:r>
        <w:rPr>
          <w:i/>
          <w:color w:val="B51700"/>
          <w:spacing w:val="-20"/>
          <w:w w:val="95"/>
        </w:rPr>
        <w:t> </w:t>
      </w:r>
      <w:r>
        <w:rPr>
          <w:i/>
          <w:color w:val="B51700"/>
          <w:spacing w:val="-5"/>
          <w:w w:val="95"/>
        </w:rPr>
        <w:t>the </w:t>
      </w:r>
      <w:r>
        <w:rPr>
          <w:color w:val="B51700"/>
          <w:spacing w:val="-12"/>
        </w:rPr>
        <w:t>York </w:t>
      </w:r>
      <w:r>
        <w:rPr>
          <w:color w:val="B51700"/>
        </w:rPr>
        <w:t>Disti</w:t>
      </w:r>
      <w:r>
        <w:rPr>
          <w:rFonts w:ascii="Arial" w:hAnsi="Arial"/>
          <w:i/>
          <w:color w:val="B51700"/>
        </w:rPr>
        <w:t>ll</w:t>
      </w:r>
      <w:r>
        <w:rPr>
          <w:i/>
          <w:color w:val="B51700"/>
        </w:rPr>
        <w:t>ery et Di</w:t>
      </w:r>
      <w:r>
        <w:rPr>
          <w:rFonts w:ascii="Arial" w:hAnsi="Arial"/>
          <w:i/>
          <w:color w:val="B51700"/>
        </w:rPr>
        <w:t>ll</w:t>
      </w:r>
      <w:r>
        <w:rPr>
          <w:i/>
          <w:color w:val="B51700"/>
        </w:rPr>
        <w:t>on’s</w:t>
      </w:r>
      <w:r>
        <w:rPr>
          <w:i/>
          <w:color w:val="B51700"/>
          <w:spacing w:val="-44"/>
        </w:rPr>
        <w:t> </w:t>
      </w:r>
      <w:r>
        <w:rPr>
          <w:i/>
          <w:color w:val="B51700"/>
        </w:rPr>
        <w:t>Disti</w:t>
      </w:r>
      <w:r>
        <w:rPr>
          <w:rFonts w:ascii="Arial" w:hAnsi="Arial"/>
          <w:i/>
          <w:color w:val="B51700"/>
        </w:rPr>
        <w:t>ll</w:t>
      </w:r>
      <w:r>
        <w:rPr>
          <w:i/>
          <w:color w:val="B51700"/>
        </w:rPr>
        <w:t>ery</w:t>
      </w:r>
    </w:p>
    <w:p>
      <w:pPr>
        <w:pStyle w:val="BodyText"/>
        <w:spacing w:before="4"/>
        <w:rPr>
          <w:i/>
          <w:sz w:val="28"/>
        </w:rPr>
      </w:pPr>
    </w:p>
    <w:p>
      <w:pPr>
        <w:pStyle w:val="BodyText"/>
        <w:spacing w:line="230" w:lineRule="auto"/>
        <w:ind w:left="140" w:right="231"/>
        <w:jc w:val="both"/>
      </w:pPr>
      <w:r>
        <w:rPr>
          <w:color w:val="1C1E21"/>
        </w:rPr>
        <w:t>La </w:t>
      </w:r>
      <w:r>
        <w:rPr>
          <w:b/>
          <w:color w:val="1C1E21"/>
          <w:spacing w:val="-6"/>
        </w:rPr>
        <w:t>York </w:t>
      </w:r>
      <w:r>
        <w:rPr>
          <w:b/>
          <w:color w:val="1C1E21"/>
        </w:rPr>
        <w:t>Distillery</w:t>
      </w:r>
      <w:r>
        <w:rPr>
          <w:color w:val="1C1E21"/>
        </w:rPr>
        <w:t>, située dans le quartier traditionnel de </w:t>
      </w:r>
      <w:r>
        <w:rPr>
          <w:color w:val="1C1E21"/>
          <w:spacing w:val="-3"/>
        </w:rPr>
        <w:t>Toronto </w:t>
      </w:r>
      <w:r>
        <w:rPr>
          <w:color w:val="1C1E21"/>
        </w:rPr>
        <w:t>Distillery District Center, produit des </w:t>
      </w:r>
      <w:r>
        <w:rPr>
          <w:b/>
          <w:color w:val="1C1E21"/>
        </w:rPr>
        <w:t>Gins, </w:t>
      </w:r>
      <w:r>
        <w:rPr>
          <w:b/>
          <w:color w:val="1C1E21"/>
          <w:spacing w:val="-3"/>
        </w:rPr>
        <w:t>Vodkas, </w:t>
      </w:r>
      <w:r>
        <w:rPr>
          <w:b/>
          <w:color w:val="1C1E21"/>
        </w:rPr>
        <w:t>Whiskies Canadiens et Aquavit. </w:t>
      </w:r>
      <w:r>
        <w:rPr>
          <w:color w:val="1C1E21"/>
        </w:rPr>
        <w:t>Elle utilise l’une des meilleures eau de source pure afin de diluer l’alcool après avoir distillé plusieurs fois et avoir chauffé la matière première à 76°C, température idéale pour l’extraction des arômes. C’est entouré d'alambics faits de cuivre que nous avons compris les méthodes de production de ces fins</w:t>
      </w:r>
      <w:r>
        <w:rPr>
          <w:color w:val="1C1E21"/>
          <w:spacing w:val="-1"/>
        </w:rPr>
        <w:t> </w:t>
      </w:r>
      <w:r>
        <w:rPr>
          <w:color w:val="1C1E21"/>
        </w:rPr>
        <w:t>spiritueux.</w:t>
      </w:r>
    </w:p>
    <w:p>
      <w:pPr>
        <w:spacing w:line="230" w:lineRule="auto" w:before="0"/>
        <w:ind w:left="140" w:right="232" w:firstLine="0"/>
        <w:jc w:val="both"/>
        <w:rPr>
          <w:sz w:val="20"/>
        </w:rPr>
      </w:pPr>
      <w:r>
        <w:rPr>
          <w:sz w:val="20"/>
        </w:rPr>
        <w:t>É</w:t>
      </w:r>
      <w:r>
        <w:rPr>
          <w:color w:val="1C1E21"/>
          <w:sz w:val="20"/>
        </w:rPr>
        <w:t>galement, visite et tasting de l’</w:t>
      </w:r>
      <w:r>
        <w:rPr>
          <w:b/>
          <w:color w:val="1C1E21"/>
          <w:sz w:val="20"/>
        </w:rPr>
        <w:t>unique Craft Distillery de l’Ontario </w:t>
      </w:r>
      <w:r>
        <w:rPr>
          <w:color w:val="1C1E21"/>
          <w:sz w:val="20"/>
        </w:rPr>
        <w:t>qui élabore plus de </w:t>
      </w:r>
      <w:r>
        <w:rPr>
          <w:b/>
          <w:color w:val="1C1E21"/>
          <w:sz w:val="20"/>
        </w:rPr>
        <w:t>30 spiritueux et liqueurs</w:t>
      </w:r>
      <w:r>
        <w:rPr>
          <w:color w:val="1C1E21"/>
          <w:sz w:val="20"/>
        </w:rPr>
        <w:t>. La </w:t>
      </w:r>
      <w:r>
        <w:rPr>
          <w:b/>
          <w:color w:val="1C1E21"/>
          <w:sz w:val="20"/>
        </w:rPr>
        <w:t>Distillerie Dillon’s </w:t>
      </w:r>
      <w:r>
        <w:rPr>
          <w:color w:val="1C1E21"/>
          <w:sz w:val="20"/>
        </w:rPr>
        <w:t>a été créée en 2012 par Geoff Dillon. Pour élaborer les 340 000 bouteilles chaque année, ce distillateur utilise près de 700 fûts de provenance différente (Etats-Unis, Canada et France).</w:t>
      </w:r>
    </w:p>
    <w:p>
      <w:pPr>
        <w:pStyle w:val="BodyText"/>
        <w:spacing w:before="7"/>
        <w:rPr>
          <w:sz w:val="18"/>
        </w:rPr>
      </w:pPr>
      <w:r>
        <w:rPr/>
        <w:drawing>
          <wp:anchor distT="0" distB="0" distL="0" distR="0" allowOverlap="1" layoutInCell="1" locked="0" behindDoc="0" simplePos="0" relativeHeight="12">
            <wp:simplePos x="0" y="0"/>
            <wp:positionH relativeFrom="page">
              <wp:posOffset>4371793</wp:posOffset>
            </wp:positionH>
            <wp:positionV relativeFrom="paragraph">
              <wp:posOffset>161198</wp:posOffset>
            </wp:positionV>
            <wp:extent cx="2621467" cy="1568767"/>
            <wp:effectExtent l="0" t="0" r="0" b="0"/>
            <wp:wrapTopAndBottom/>
            <wp:docPr id="9" name="image7.jpeg"/>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2621467" cy="1568767"/>
                    </a:xfrm>
                    <a:prstGeom prst="rect">
                      <a:avLst/>
                    </a:prstGeom>
                  </pic:spPr>
                </pic:pic>
              </a:graphicData>
            </a:graphic>
          </wp:anchor>
        </w:drawing>
      </w:r>
    </w:p>
    <w:p>
      <w:pPr>
        <w:pStyle w:val="BodyText"/>
        <w:spacing w:before="6"/>
        <w:rPr>
          <w:sz w:val="21"/>
        </w:rPr>
      </w:pPr>
    </w:p>
    <w:p>
      <w:pPr>
        <w:spacing w:before="0"/>
        <w:ind w:left="380" w:right="422" w:firstLine="0"/>
        <w:jc w:val="center"/>
        <w:rPr>
          <w:i/>
          <w:sz w:val="18"/>
        </w:rPr>
      </w:pPr>
      <w:r>
        <w:rPr>
          <w:i/>
          <w:sz w:val="18"/>
        </w:rPr>
        <w:t>Les étudiants et Geoff Dillon chez Dillon’s Distillery</w:t>
      </w:r>
    </w:p>
    <w:p>
      <w:pPr>
        <w:spacing w:after="0"/>
        <w:jc w:val="center"/>
        <w:rPr>
          <w:sz w:val="18"/>
        </w:rPr>
        <w:sectPr>
          <w:pgSz w:w="11910" w:h="16840"/>
          <w:pgMar w:top="0" w:bottom="0" w:left="20" w:right="0"/>
          <w:cols w:num="2" w:equalWidth="0">
            <w:col w:w="5898" w:space="162"/>
            <w:col w:w="5830"/>
          </w:cols>
        </w:sectPr>
      </w:pPr>
    </w:p>
    <w:p>
      <w:pPr>
        <w:pStyle w:val="BodyText"/>
        <w:ind w:left="431" w:right="-44"/>
      </w:pPr>
      <w:r>
        <w:rPr/>
        <w:drawing>
          <wp:inline distT="0" distB="0" distL="0" distR="0">
            <wp:extent cx="3207797" cy="1651920"/>
            <wp:effectExtent l="0" t="0" r="0" b="0"/>
            <wp:docPr id="11" name="image8.jpeg"/>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3207797" cy="1651920"/>
                    </a:xfrm>
                    <a:prstGeom prst="rect">
                      <a:avLst/>
                    </a:prstGeom>
                  </pic:spPr>
                </pic:pic>
              </a:graphicData>
            </a:graphic>
          </wp:inline>
        </w:drawing>
      </w:r>
      <w:r>
        <w:rPr/>
      </w:r>
    </w:p>
    <w:p>
      <w:pPr>
        <w:spacing w:line="232" w:lineRule="auto" w:before="115"/>
        <w:ind w:left="1080" w:right="122" w:hanging="140"/>
        <w:jc w:val="left"/>
        <w:rPr>
          <w:i/>
          <w:sz w:val="18"/>
        </w:rPr>
      </w:pPr>
      <w:r>
        <w:rPr>
          <w:i/>
          <w:sz w:val="18"/>
        </w:rPr>
        <w:t>La promotion en présence du vinificateur d’Inniskillin : </w:t>
      </w:r>
      <w:r>
        <w:rPr>
          <w:i/>
          <w:sz w:val="18"/>
        </w:rPr>
        <w:t>Bruce Nicholson lors d’un tasting de vins de glaces</w:t>
      </w:r>
    </w:p>
    <w:p>
      <w:pPr>
        <w:pStyle w:val="BodyText"/>
        <w:spacing w:before="8"/>
        <w:rPr>
          <w:i/>
          <w:sz w:val="24"/>
        </w:rPr>
      </w:pPr>
      <w:r>
        <w:rPr/>
        <w:drawing>
          <wp:anchor distT="0" distB="0" distL="0" distR="0" allowOverlap="1" layoutInCell="1" locked="0" behindDoc="0" simplePos="0" relativeHeight="13">
            <wp:simplePos x="0" y="0"/>
            <wp:positionH relativeFrom="page">
              <wp:posOffset>612703</wp:posOffset>
            </wp:positionH>
            <wp:positionV relativeFrom="paragraph">
              <wp:posOffset>205557</wp:posOffset>
            </wp:positionV>
            <wp:extent cx="2554623" cy="2447925"/>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2554623" cy="2447925"/>
                    </a:xfrm>
                    <a:prstGeom prst="rect">
                      <a:avLst/>
                    </a:prstGeom>
                  </pic:spPr>
                </pic:pic>
              </a:graphicData>
            </a:graphic>
          </wp:anchor>
        </w:drawing>
      </w:r>
    </w:p>
    <w:p>
      <w:pPr>
        <w:spacing w:before="125"/>
        <w:ind w:left="1160" w:right="0" w:firstLine="0"/>
        <w:jc w:val="left"/>
        <w:rPr>
          <w:i/>
          <w:sz w:val="18"/>
        </w:rPr>
      </w:pPr>
      <w:r>
        <w:rPr>
          <w:i/>
          <w:sz w:val="18"/>
        </w:rPr>
        <w:t>Les LPCIVS au domaine Château des Charmes</w:t>
      </w:r>
    </w:p>
    <w:p>
      <w:pPr>
        <w:pStyle w:val="Heading3"/>
        <w:spacing w:line="242" w:lineRule="auto" w:before="36"/>
        <w:ind w:left="711" w:right="495"/>
      </w:pPr>
      <w:r>
        <w:rPr>
          <w:i w:val="0"/>
        </w:rPr>
        <w:br w:type="column"/>
      </w:r>
      <w:r>
        <w:rPr>
          <w:i/>
          <w:color w:val="B51700"/>
          <w:w w:val="95"/>
        </w:rPr>
        <w:t>La</w:t>
      </w:r>
      <w:r>
        <w:rPr>
          <w:i/>
          <w:color w:val="B51700"/>
          <w:spacing w:val="-16"/>
          <w:w w:val="95"/>
        </w:rPr>
        <w:t> </w:t>
      </w:r>
      <w:r>
        <w:rPr>
          <w:i/>
          <w:color w:val="B51700"/>
          <w:w w:val="95"/>
        </w:rPr>
        <w:t>bière</w:t>
      </w:r>
      <w:r>
        <w:rPr>
          <w:i/>
          <w:color w:val="B51700"/>
          <w:spacing w:val="-16"/>
          <w:w w:val="95"/>
        </w:rPr>
        <w:t> </w:t>
      </w:r>
      <w:r>
        <w:rPr>
          <w:i/>
          <w:color w:val="B51700"/>
          <w:w w:val="95"/>
        </w:rPr>
        <w:t>en</w:t>
      </w:r>
      <w:r>
        <w:rPr>
          <w:i/>
          <w:color w:val="B51700"/>
          <w:spacing w:val="-16"/>
          <w:w w:val="95"/>
        </w:rPr>
        <w:t> </w:t>
      </w:r>
      <w:r>
        <w:rPr>
          <w:i/>
          <w:color w:val="B51700"/>
          <w:w w:val="95"/>
        </w:rPr>
        <w:t>Ontario</w:t>
      </w:r>
      <w:r>
        <w:rPr>
          <w:i/>
          <w:color w:val="B51700"/>
          <w:spacing w:val="-16"/>
          <w:w w:val="95"/>
        </w:rPr>
        <w:t> </w:t>
      </w:r>
      <w:r>
        <w:rPr>
          <w:i/>
          <w:color w:val="B51700"/>
          <w:w w:val="95"/>
        </w:rPr>
        <w:t>avec</w:t>
      </w:r>
      <w:r>
        <w:rPr>
          <w:i/>
          <w:color w:val="B51700"/>
          <w:spacing w:val="-16"/>
          <w:w w:val="95"/>
        </w:rPr>
        <w:t> </w:t>
      </w:r>
      <w:r>
        <w:rPr>
          <w:i/>
          <w:color w:val="B51700"/>
          <w:w w:val="95"/>
        </w:rPr>
        <w:t>Goose</w:t>
      </w:r>
      <w:r>
        <w:rPr>
          <w:i/>
          <w:color w:val="B51700"/>
          <w:spacing w:val="-15"/>
          <w:w w:val="95"/>
        </w:rPr>
        <w:t> </w:t>
      </w:r>
      <w:r>
        <w:rPr>
          <w:i/>
          <w:color w:val="B51700"/>
          <w:w w:val="95"/>
        </w:rPr>
        <w:t>Island</w:t>
      </w:r>
      <w:r>
        <w:rPr>
          <w:i/>
          <w:color w:val="B51700"/>
          <w:spacing w:val="-16"/>
          <w:w w:val="95"/>
        </w:rPr>
        <w:t> </w:t>
      </w:r>
      <w:r>
        <w:rPr>
          <w:i/>
          <w:color w:val="B51700"/>
          <w:w w:val="95"/>
        </w:rPr>
        <w:t>appartenant</w:t>
      </w:r>
      <w:r>
        <w:rPr>
          <w:i/>
          <w:color w:val="B51700"/>
          <w:spacing w:val="-16"/>
          <w:w w:val="95"/>
        </w:rPr>
        <w:t> </w:t>
      </w:r>
      <w:r>
        <w:rPr>
          <w:i/>
          <w:color w:val="B51700"/>
          <w:spacing w:val="-8"/>
          <w:w w:val="95"/>
        </w:rPr>
        <w:t>au </w:t>
      </w:r>
      <w:r>
        <w:rPr>
          <w:color w:val="B51700"/>
        </w:rPr>
        <w:t>leader mondial</w:t>
      </w:r>
      <w:r>
        <w:rPr>
          <w:color w:val="B51700"/>
          <w:spacing w:val="-28"/>
        </w:rPr>
        <w:t> </w:t>
      </w:r>
      <w:r>
        <w:rPr>
          <w:color w:val="B51700"/>
          <w:spacing w:val="-3"/>
        </w:rPr>
        <w:t>Inbev</w:t>
      </w:r>
    </w:p>
    <w:p>
      <w:pPr>
        <w:pStyle w:val="BodyText"/>
        <w:spacing w:before="8"/>
        <w:rPr>
          <w:i/>
          <w:sz w:val="26"/>
        </w:rPr>
      </w:pPr>
    </w:p>
    <w:p>
      <w:pPr>
        <w:spacing w:line="230" w:lineRule="auto" w:before="0"/>
        <w:ind w:left="431" w:right="212" w:firstLine="0"/>
        <w:jc w:val="both"/>
        <w:rPr>
          <w:sz w:val="20"/>
        </w:rPr>
      </w:pPr>
      <w:r>
        <w:rPr>
          <w:sz w:val="20"/>
        </w:rPr>
        <w:t>La consommation de bière au Canada est importante avec </w:t>
      </w:r>
      <w:r>
        <w:rPr>
          <w:b/>
          <w:sz w:val="20"/>
        </w:rPr>
        <w:t>98 litres de bière par habitant par an. O</w:t>
      </w:r>
      <w:r>
        <w:rPr>
          <w:sz w:val="20"/>
        </w:rPr>
        <w:t>n comptait </w:t>
      </w:r>
      <w:r>
        <w:rPr>
          <w:b/>
          <w:sz w:val="20"/>
        </w:rPr>
        <w:t>995 micro brasseries </w:t>
      </w:r>
      <w:r>
        <w:rPr>
          <w:sz w:val="20"/>
        </w:rPr>
        <w:t>début 2020. Nous avons rencontré Benoit Brame, expatrié français, qui créé toutes les bières </w:t>
      </w:r>
      <w:r>
        <w:rPr>
          <w:b/>
          <w:sz w:val="20"/>
        </w:rPr>
        <w:t>du Goose Island Toronto</w:t>
      </w:r>
      <w:r>
        <w:rPr>
          <w:sz w:val="20"/>
        </w:rPr>
        <w:t>, </w:t>
      </w:r>
      <w:r>
        <w:rPr>
          <w:b/>
          <w:sz w:val="20"/>
        </w:rPr>
        <w:t>brasserie du top 5 à Toronto</w:t>
      </w:r>
      <w:r>
        <w:rPr>
          <w:sz w:val="20"/>
        </w:rPr>
        <w:t>, qui innove avec des bières au </w:t>
      </w:r>
      <w:r>
        <w:rPr>
          <w:b/>
          <w:sz w:val="20"/>
        </w:rPr>
        <w:t>style craft</w:t>
      </w:r>
      <w:r>
        <w:rPr>
          <w:sz w:val="20"/>
        </w:rPr>
        <w:t>, Ale et Lager. Nous avons pu appréhender le marché et les méthodes de production des bières de cette brasserie qui produit 150 000 litres. par an.</w:t>
      </w:r>
    </w:p>
    <w:p>
      <w:pPr>
        <w:pStyle w:val="BodyText"/>
        <w:spacing w:before="1"/>
        <w:rPr>
          <w:sz w:val="32"/>
        </w:rPr>
      </w:pPr>
    </w:p>
    <w:p>
      <w:pPr>
        <w:pStyle w:val="Heading2"/>
        <w:ind w:left="706" w:right="495"/>
        <w:rPr>
          <w:i/>
        </w:rPr>
      </w:pPr>
      <w:r>
        <w:rPr>
          <w:i/>
          <w:color w:val="B51700"/>
        </w:rPr>
        <w:t>Les visites culture</w:t>
      </w:r>
      <w:r>
        <w:rPr>
          <w:rFonts w:ascii="Arial"/>
          <w:i/>
          <w:color w:val="B51700"/>
        </w:rPr>
        <w:t>ll</w:t>
      </w:r>
      <w:r>
        <w:rPr>
          <w:i/>
          <w:color w:val="B51700"/>
        </w:rPr>
        <w:t>es</w:t>
      </w:r>
    </w:p>
    <w:p>
      <w:pPr>
        <w:spacing w:line="230" w:lineRule="auto" w:before="25"/>
        <w:ind w:left="491" w:right="303" w:hanging="3"/>
        <w:jc w:val="center"/>
        <w:rPr>
          <w:sz w:val="20"/>
        </w:rPr>
      </w:pPr>
      <w:r>
        <w:rPr>
          <w:sz w:val="20"/>
        </w:rPr>
        <w:t>Enfin, nous avons réalisé certaines des plus célèbres visites culturelles de </w:t>
      </w:r>
      <w:r>
        <w:rPr>
          <w:spacing w:val="-3"/>
          <w:sz w:val="20"/>
        </w:rPr>
        <w:t>Toronto </w:t>
      </w:r>
      <w:r>
        <w:rPr>
          <w:sz w:val="20"/>
        </w:rPr>
        <w:t>et Niagara : le </w:t>
      </w:r>
      <w:r>
        <w:rPr>
          <w:b/>
          <w:sz w:val="20"/>
        </w:rPr>
        <w:t>Musée Royal de </w:t>
      </w:r>
      <w:r>
        <w:rPr>
          <w:b/>
          <w:spacing w:val="-3"/>
          <w:sz w:val="20"/>
        </w:rPr>
        <w:t>Toronto</w:t>
      </w:r>
      <w:r>
        <w:rPr>
          <w:spacing w:val="-3"/>
          <w:sz w:val="20"/>
        </w:rPr>
        <w:t>, </w:t>
      </w:r>
      <w:r>
        <w:rPr>
          <w:sz w:val="20"/>
        </w:rPr>
        <w:t>la </w:t>
      </w:r>
      <w:r>
        <w:rPr>
          <w:b/>
          <w:sz w:val="20"/>
        </w:rPr>
        <w:t>CN </w:t>
      </w:r>
      <w:r>
        <w:rPr>
          <w:b/>
          <w:spacing w:val="-4"/>
          <w:sz w:val="20"/>
        </w:rPr>
        <w:t>Tower </w:t>
      </w:r>
      <w:r>
        <w:rPr>
          <w:sz w:val="20"/>
        </w:rPr>
        <w:t>ou encore les </w:t>
      </w:r>
      <w:r>
        <w:rPr>
          <w:b/>
          <w:sz w:val="20"/>
        </w:rPr>
        <w:t>chutes du Niagara</w:t>
      </w:r>
      <w:r>
        <w:rPr>
          <w:sz w:val="20"/>
        </w:rPr>
        <w:t>.</w:t>
      </w:r>
    </w:p>
    <w:p>
      <w:pPr>
        <w:pStyle w:val="BodyText"/>
        <w:spacing w:before="10"/>
        <w:rPr>
          <w:sz w:val="22"/>
        </w:rPr>
      </w:pPr>
      <w:r>
        <w:rPr/>
        <w:drawing>
          <wp:anchor distT="0" distB="0" distL="0" distR="0" allowOverlap="1" layoutInCell="1" locked="0" behindDoc="0" simplePos="0" relativeHeight="14">
            <wp:simplePos x="0" y="0"/>
            <wp:positionH relativeFrom="page">
              <wp:posOffset>5002914</wp:posOffset>
            </wp:positionH>
            <wp:positionV relativeFrom="paragraph">
              <wp:posOffset>192279</wp:posOffset>
            </wp:positionV>
            <wp:extent cx="1440179" cy="1920239"/>
            <wp:effectExtent l="0" t="0" r="0" b="0"/>
            <wp:wrapTopAndBottom/>
            <wp:docPr id="15" name="image10.jpeg"/>
            <wp:cNvGraphicFramePr>
              <a:graphicFrameLocks noChangeAspect="1"/>
            </wp:cNvGraphicFramePr>
            <a:graphic>
              <a:graphicData uri="http://schemas.openxmlformats.org/drawingml/2006/picture">
                <pic:pic>
                  <pic:nvPicPr>
                    <pic:cNvPr id="16" name="image10.jpeg"/>
                    <pic:cNvPicPr/>
                  </pic:nvPicPr>
                  <pic:blipFill>
                    <a:blip r:embed="rId14" cstate="print"/>
                    <a:stretch>
                      <a:fillRect/>
                    </a:stretch>
                  </pic:blipFill>
                  <pic:spPr>
                    <a:xfrm>
                      <a:off x="0" y="0"/>
                      <a:ext cx="1440179" cy="1920239"/>
                    </a:xfrm>
                    <a:prstGeom prst="rect">
                      <a:avLst/>
                    </a:prstGeom>
                  </pic:spPr>
                </pic:pic>
              </a:graphicData>
            </a:graphic>
          </wp:anchor>
        </w:drawing>
      </w:r>
    </w:p>
    <w:p>
      <w:pPr>
        <w:spacing w:after="0"/>
        <w:rPr>
          <w:sz w:val="22"/>
        </w:rPr>
        <w:sectPr>
          <w:pgSz w:w="11910" w:h="16840"/>
          <w:pgMar w:top="460" w:bottom="0" w:left="20" w:right="0"/>
          <w:cols w:num="2" w:equalWidth="0">
            <w:col w:w="5487" w:space="302"/>
            <w:col w:w="6101"/>
          </w:cols>
        </w:sectPr>
      </w:pPr>
    </w:p>
    <w:p>
      <w:pPr>
        <w:pStyle w:val="BodyText"/>
        <w:spacing w:before="9"/>
        <w:rPr>
          <w:sz w:val="8"/>
        </w:rPr>
      </w:pPr>
    </w:p>
    <w:p>
      <w:pPr>
        <w:spacing w:after="0"/>
        <w:rPr>
          <w:sz w:val="8"/>
        </w:rPr>
        <w:sectPr>
          <w:type w:val="continuous"/>
          <w:pgSz w:w="11910" w:h="16840"/>
          <w:pgMar w:top="180" w:bottom="280" w:left="20" w:right="0"/>
        </w:sectPr>
      </w:pPr>
    </w:p>
    <w:p>
      <w:pPr>
        <w:pStyle w:val="BodyText"/>
        <w:spacing w:before="2"/>
        <w:rPr>
          <w:sz w:val="24"/>
        </w:rPr>
      </w:pPr>
    </w:p>
    <w:p>
      <w:pPr>
        <w:pStyle w:val="Heading2"/>
        <w:spacing w:line="256" w:lineRule="auto"/>
        <w:ind w:left="1200" w:right="462" w:hanging="600"/>
        <w:jc w:val="left"/>
        <w:rPr>
          <w:i/>
        </w:rPr>
      </w:pPr>
      <w:r>
        <w:rPr>
          <w:i/>
          <w:color w:val="B51700"/>
          <w:w w:val="95"/>
        </w:rPr>
        <w:t>Domaines</w:t>
      </w:r>
      <w:r>
        <w:rPr>
          <w:i/>
          <w:color w:val="B51700"/>
          <w:spacing w:val="-27"/>
          <w:w w:val="95"/>
        </w:rPr>
        <w:t> </w:t>
      </w:r>
      <w:r>
        <w:rPr>
          <w:i/>
          <w:color w:val="B51700"/>
          <w:w w:val="95"/>
        </w:rPr>
        <w:t>de</w:t>
      </w:r>
      <w:r>
        <w:rPr>
          <w:i/>
          <w:color w:val="B51700"/>
          <w:spacing w:val="-26"/>
          <w:w w:val="95"/>
        </w:rPr>
        <w:t> </w:t>
      </w:r>
      <w:r>
        <w:rPr>
          <w:i/>
          <w:color w:val="B51700"/>
          <w:w w:val="95"/>
        </w:rPr>
        <w:t>recherche</w:t>
      </w:r>
      <w:r>
        <w:rPr>
          <w:i/>
          <w:color w:val="B51700"/>
          <w:spacing w:val="-26"/>
          <w:w w:val="95"/>
        </w:rPr>
        <w:t> </w:t>
      </w:r>
      <w:r>
        <w:rPr>
          <w:i/>
          <w:color w:val="B51700"/>
          <w:w w:val="95"/>
        </w:rPr>
        <w:t>universitaire</w:t>
      </w:r>
      <w:r>
        <w:rPr>
          <w:i/>
          <w:color w:val="B51700"/>
          <w:spacing w:val="-26"/>
          <w:w w:val="95"/>
        </w:rPr>
        <w:t> </w:t>
      </w:r>
      <w:r>
        <w:rPr>
          <w:i/>
          <w:color w:val="B51700"/>
          <w:w w:val="95"/>
        </w:rPr>
        <w:t>et</w:t>
      </w:r>
      <w:r>
        <w:rPr>
          <w:i/>
          <w:color w:val="B51700"/>
          <w:spacing w:val="-26"/>
          <w:w w:val="95"/>
        </w:rPr>
        <w:t> </w:t>
      </w:r>
      <w:r>
        <w:rPr>
          <w:i/>
          <w:color w:val="B51700"/>
          <w:w w:val="95"/>
        </w:rPr>
        <w:t>formation </w:t>
      </w:r>
      <w:r>
        <w:rPr>
          <w:color w:val="B51700"/>
        </w:rPr>
        <w:t>professionne</w:t>
      </w:r>
      <w:r>
        <w:rPr>
          <w:rFonts w:ascii="Arial"/>
          <w:i/>
          <w:color w:val="B51700"/>
        </w:rPr>
        <w:t>ll</w:t>
      </w:r>
      <w:r>
        <w:rPr>
          <w:i/>
          <w:color w:val="B51700"/>
        </w:rPr>
        <w:t>e</w:t>
      </w:r>
      <w:r>
        <w:rPr>
          <w:i/>
          <w:color w:val="B51700"/>
          <w:spacing w:val="-28"/>
        </w:rPr>
        <w:t> </w:t>
      </w:r>
      <w:r>
        <w:rPr>
          <w:i/>
          <w:color w:val="B51700"/>
        </w:rPr>
        <w:t>dans</w:t>
      </w:r>
      <w:r>
        <w:rPr>
          <w:i/>
          <w:color w:val="B51700"/>
          <w:spacing w:val="-28"/>
        </w:rPr>
        <w:t> </w:t>
      </w:r>
      <w:r>
        <w:rPr>
          <w:i/>
          <w:color w:val="B51700"/>
        </w:rPr>
        <w:t>le</w:t>
      </w:r>
      <w:r>
        <w:rPr>
          <w:i/>
          <w:color w:val="B51700"/>
          <w:spacing w:val="-28"/>
        </w:rPr>
        <w:t> </w:t>
      </w:r>
      <w:r>
        <w:rPr>
          <w:i/>
          <w:color w:val="B51700"/>
        </w:rPr>
        <w:t>vin</w:t>
      </w:r>
      <w:r>
        <w:rPr>
          <w:i/>
          <w:color w:val="B51700"/>
          <w:spacing w:val="-28"/>
        </w:rPr>
        <w:t> </w:t>
      </w:r>
      <w:r>
        <w:rPr>
          <w:i/>
          <w:color w:val="B51700"/>
        </w:rPr>
        <w:t>en</w:t>
      </w:r>
      <w:r>
        <w:rPr>
          <w:i/>
          <w:color w:val="B51700"/>
          <w:spacing w:val="-28"/>
        </w:rPr>
        <w:t> </w:t>
      </w:r>
      <w:r>
        <w:rPr>
          <w:i/>
          <w:color w:val="B51700"/>
        </w:rPr>
        <w:t>Ontario</w:t>
      </w:r>
    </w:p>
    <w:p>
      <w:pPr>
        <w:pStyle w:val="BodyText"/>
        <w:spacing w:before="3"/>
        <w:rPr>
          <w:i/>
          <w:sz w:val="26"/>
        </w:rPr>
      </w:pPr>
    </w:p>
    <w:p>
      <w:pPr>
        <w:spacing w:line="230" w:lineRule="auto" w:before="0"/>
        <w:ind w:left="160" w:right="46" w:firstLine="0"/>
        <w:jc w:val="both"/>
        <w:rPr>
          <w:sz w:val="20"/>
        </w:rPr>
      </w:pPr>
      <w:r>
        <w:rPr>
          <w:sz w:val="20"/>
        </w:rPr>
        <w:t>Les établissements de formation et de recherche de la filière vins et spiritueux jouent un rôle crucial par leurs innovations et liens très proches avec les opérateurs du secteur. La </w:t>
      </w:r>
      <w:r>
        <w:rPr>
          <w:b/>
          <w:sz w:val="20"/>
        </w:rPr>
        <w:t>Brock University </w:t>
      </w:r>
      <w:r>
        <w:rPr>
          <w:sz w:val="20"/>
        </w:rPr>
        <w:t>est une </w:t>
      </w:r>
      <w:r>
        <w:rPr>
          <w:b/>
          <w:sz w:val="20"/>
        </w:rPr>
        <w:t>université publique de formation et de recherche qui possède un département dédié aux vins et spiritueux (Cool Climate Oenology &amp; Viticuture Institute)</w:t>
      </w:r>
      <w:r>
        <w:rPr>
          <w:sz w:val="20"/>
        </w:rPr>
        <w:t>. Des </w:t>
      </w:r>
      <w:r>
        <w:rPr>
          <w:b/>
          <w:sz w:val="20"/>
        </w:rPr>
        <w:t>projets </w:t>
      </w:r>
      <w:r>
        <w:rPr>
          <w:sz w:val="20"/>
        </w:rPr>
        <w:t>sont menés en partenariat avec les entreprises afin de mieux comprendre par exemple la maladie de la pourriture acide, les mutations de cépages ou encore la gestion des tanins.</w:t>
      </w:r>
    </w:p>
    <w:p>
      <w:pPr>
        <w:spacing w:line="230" w:lineRule="auto" w:before="0"/>
        <w:ind w:left="160" w:right="38" w:firstLine="0"/>
        <w:jc w:val="both"/>
        <w:rPr>
          <w:sz w:val="20"/>
        </w:rPr>
      </w:pPr>
      <w:r>
        <w:rPr>
          <w:b/>
          <w:sz w:val="20"/>
        </w:rPr>
        <w:t>Niagara College Teaching Winery</w:t>
      </w:r>
      <w:r>
        <w:rPr>
          <w:sz w:val="20"/>
        </w:rPr>
        <w:t>, forme </w:t>
      </w:r>
      <w:r>
        <w:rPr>
          <w:b/>
          <w:sz w:val="20"/>
        </w:rPr>
        <w:t>40 élèves </w:t>
      </w:r>
      <w:r>
        <w:rPr>
          <w:sz w:val="20"/>
        </w:rPr>
        <w:t>par an. La </w:t>
      </w:r>
      <w:r>
        <w:rPr>
          <w:b/>
          <w:sz w:val="20"/>
        </w:rPr>
        <w:t>pratique est au coeur de leur pédagogie </w:t>
      </w:r>
      <w:r>
        <w:rPr>
          <w:sz w:val="20"/>
        </w:rPr>
        <w:t>; les étudiants réalisent via des programmes de formation très concrets, le travail de la vigne, la vinification/distillation/brassage et la commercialisation</w:t>
      </w:r>
      <w:r>
        <w:rPr>
          <w:b/>
          <w:sz w:val="20"/>
        </w:rPr>
        <w:t>. </w:t>
      </w:r>
      <w:r>
        <w:rPr>
          <w:sz w:val="20"/>
        </w:rPr>
        <w:t>Ils produisent au total </w:t>
      </w:r>
      <w:r>
        <w:rPr>
          <w:b/>
          <w:sz w:val="20"/>
        </w:rPr>
        <w:t>60 000 bouteilles de vins</w:t>
      </w:r>
      <w:r>
        <w:rPr>
          <w:sz w:val="20"/>
        </w:rPr>
        <w:t>, bières, spiritueux. Les étudiants réalisent des TP pratiques : modification de la structure de leurs vins sur les niveaux de sucre et de l’acidité, et la rectification des possibles défauts du vin.</w:t>
      </w:r>
    </w:p>
    <w:p>
      <w:pPr>
        <w:pStyle w:val="BodyText"/>
        <w:spacing w:before="11"/>
      </w:pPr>
      <w:r>
        <w:rPr/>
        <w:drawing>
          <wp:anchor distT="0" distB="0" distL="0" distR="0" allowOverlap="1" layoutInCell="1" locked="0" behindDoc="0" simplePos="0" relativeHeight="15">
            <wp:simplePos x="0" y="0"/>
            <wp:positionH relativeFrom="page">
              <wp:posOffset>717294</wp:posOffset>
            </wp:positionH>
            <wp:positionV relativeFrom="paragraph">
              <wp:posOffset>177935</wp:posOffset>
            </wp:positionV>
            <wp:extent cx="2349344" cy="1762696"/>
            <wp:effectExtent l="0" t="0" r="0" b="0"/>
            <wp:wrapTopAndBottom/>
            <wp:docPr id="17" name="image11.jpeg"/>
            <wp:cNvGraphicFramePr>
              <a:graphicFrameLocks noChangeAspect="1"/>
            </wp:cNvGraphicFramePr>
            <a:graphic>
              <a:graphicData uri="http://schemas.openxmlformats.org/drawingml/2006/picture">
                <pic:pic>
                  <pic:nvPicPr>
                    <pic:cNvPr id="18" name="image11.jpeg"/>
                    <pic:cNvPicPr/>
                  </pic:nvPicPr>
                  <pic:blipFill>
                    <a:blip r:embed="rId15" cstate="print"/>
                    <a:stretch>
                      <a:fillRect/>
                    </a:stretch>
                  </pic:blipFill>
                  <pic:spPr>
                    <a:xfrm>
                      <a:off x="0" y="0"/>
                      <a:ext cx="2349344" cy="1762696"/>
                    </a:xfrm>
                    <a:prstGeom prst="rect">
                      <a:avLst/>
                    </a:prstGeom>
                  </pic:spPr>
                </pic:pic>
              </a:graphicData>
            </a:graphic>
          </wp:anchor>
        </w:drawing>
      </w:r>
    </w:p>
    <w:p>
      <w:pPr>
        <w:spacing w:line="232" w:lineRule="auto" w:before="18"/>
        <w:ind w:left="2360" w:right="993" w:hanging="960"/>
        <w:jc w:val="left"/>
        <w:rPr>
          <w:i/>
          <w:sz w:val="18"/>
        </w:rPr>
      </w:pPr>
      <w:r>
        <w:rPr>
          <w:i/>
          <w:sz w:val="18"/>
        </w:rPr>
        <w:t>Les étudiants chez Brock University avec </w:t>
      </w:r>
      <w:r>
        <w:rPr>
          <w:i/>
          <w:sz w:val="18"/>
        </w:rPr>
        <w:t>Belinda Kemp</w:t>
      </w:r>
    </w:p>
    <w:p>
      <w:pPr>
        <w:spacing w:line="232" w:lineRule="auto" w:before="97"/>
        <w:ind w:left="394" w:right="548" w:firstLine="0"/>
        <w:jc w:val="center"/>
        <w:rPr>
          <w:i/>
          <w:sz w:val="18"/>
        </w:rPr>
      </w:pPr>
      <w:r>
        <w:rPr/>
        <w:br w:type="column"/>
      </w:r>
      <w:r>
        <w:rPr>
          <w:i/>
          <w:sz w:val="18"/>
        </w:rPr>
        <w:t>Photo de la CN Tower, monument emblématique de la ville de </w:t>
      </w:r>
      <w:r>
        <w:rPr>
          <w:i/>
          <w:sz w:val="18"/>
        </w:rPr>
        <w:t>Toronto mesurant 553 mètres de hauteur</w:t>
      </w:r>
    </w:p>
    <w:p>
      <w:pPr>
        <w:pStyle w:val="BodyText"/>
        <w:spacing w:before="5"/>
        <w:rPr>
          <w:i/>
          <w:sz w:val="21"/>
        </w:rPr>
      </w:pPr>
      <w:r>
        <w:rPr/>
        <w:drawing>
          <wp:anchor distT="0" distB="0" distL="0" distR="0" allowOverlap="1" layoutInCell="1" locked="0" behindDoc="0" simplePos="0" relativeHeight="16">
            <wp:simplePos x="0" y="0"/>
            <wp:positionH relativeFrom="page">
              <wp:posOffset>5002914</wp:posOffset>
            </wp:positionH>
            <wp:positionV relativeFrom="paragraph">
              <wp:posOffset>181317</wp:posOffset>
            </wp:positionV>
            <wp:extent cx="1748070" cy="1857375"/>
            <wp:effectExtent l="0" t="0" r="0" b="0"/>
            <wp:wrapTopAndBottom/>
            <wp:docPr id="19" name="image12.jpeg"/>
            <wp:cNvGraphicFramePr>
              <a:graphicFrameLocks noChangeAspect="1"/>
            </wp:cNvGraphicFramePr>
            <a:graphic>
              <a:graphicData uri="http://schemas.openxmlformats.org/drawingml/2006/picture">
                <pic:pic>
                  <pic:nvPicPr>
                    <pic:cNvPr id="20" name="image12.jpeg"/>
                    <pic:cNvPicPr/>
                  </pic:nvPicPr>
                  <pic:blipFill>
                    <a:blip r:embed="rId16" cstate="print"/>
                    <a:stretch>
                      <a:fillRect/>
                    </a:stretch>
                  </pic:blipFill>
                  <pic:spPr>
                    <a:xfrm>
                      <a:off x="0" y="0"/>
                      <a:ext cx="1748070" cy="1857375"/>
                    </a:xfrm>
                    <a:prstGeom prst="rect">
                      <a:avLst/>
                    </a:prstGeom>
                  </pic:spPr>
                </pic:pic>
              </a:graphicData>
            </a:graphic>
          </wp:anchor>
        </w:drawing>
      </w:r>
    </w:p>
    <w:p>
      <w:pPr>
        <w:pStyle w:val="BodyText"/>
        <w:spacing w:before="10"/>
        <w:rPr>
          <w:i/>
          <w:sz w:val="16"/>
        </w:rPr>
      </w:pPr>
    </w:p>
    <w:p>
      <w:pPr>
        <w:spacing w:before="0"/>
        <w:ind w:left="377" w:right="548" w:firstLine="0"/>
        <w:jc w:val="center"/>
        <w:rPr>
          <w:i/>
          <w:sz w:val="18"/>
        </w:rPr>
      </w:pPr>
      <w:r>
        <w:rPr>
          <w:i/>
          <w:sz w:val="18"/>
        </w:rPr>
        <w:t>Musée royal de Toronto, illustration des peuples autochtones</w:t>
      </w:r>
    </w:p>
    <w:p>
      <w:pPr>
        <w:pStyle w:val="BodyText"/>
        <w:spacing w:before="8"/>
        <w:rPr>
          <w:i/>
          <w:sz w:val="29"/>
        </w:rPr>
      </w:pPr>
      <w:r>
        <w:rPr/>
        <w:pict>
          <v:group style="position:absolute;margin-left:329.570496pt;margin-top:19.072760pt;width:258.55pt;height:108.9pt;mso-position-horizontal-relative:page;mso-position-vertical-relative:paragraph;z-index:-251636736;mso-wrap-distance-left:0;mso-wrap-distance-right:0" coordorigin="6591,381" coordsize="5171,2178">
            <v:rect style="position:absolute;left:6601;top:391;width:5151;height:2158" filled="true" fillcolor="#d6d5d5" stroked="false">
              <v:fill type="solid"/>
            </v:rect>
            <v:rect style="position:absolute;left:6601;top:391;width:5151;height:2158" filled="false" stroked="true" strokeweight="1pt" strokecolor="#929292">
              <v:stroke dashstyle="solid"/>
            </v:rect>
            <v:shape style="position:absolute;left:6740;top:1201;width:4880;height:1100" type="#_x0000_t202" filled="false" stroked="false">
              <v:textbox inset="0,0,0,0">
                <w:txbxContent>
                  <w:p>
                    <w:pPr>
                      <w:spacing w:line="199" w:lineRule="exact" w:before="0"/>
                      <w:ind w:left="0" w:right="17" w:firstLine="0"/>
                      <w:jc w:val="center"/>
                      <w:rPr>
                        <w:b/>
                        <w:sz w:val="18"/>
                      </w:rPr>
                    </w:pPr>
                    <w:r>
                      <w:rPr>
                        <w:b/>
                        <w:sz w:val="18"/>
                      </w:rPr>
                      <w:t>GUYOT</w:t>
                    </w:r>
                  </w:p>
                  <w:p>
                    <w:pPr>
                      <w:spacing w:line="278" w:lineRule="auto" w:before="33"/>
                      <w:ind w:left="1500" w:right="1522" w:firstLine="9"/>
                      <w:jc w:val="center"/>
                      <w:rPr>
                        <w:sz w:val="18"/>
                      </w:rPr>
                    </w:pPr>
                    <w:hyperlink r:id="rId17">
                      <w:r>
                        <w:rPr>
                          <w:sz w:val="18"/>
                          <w:u w:val="single"/>
                        </w:rPr>
                        <w:t>cleia.seyler@gmail.com</w:t>
                      </w:r>
                    </w:hyperlink>
                    <w:r>
                      <w:rPr>
                        <w:sz w:val="18"/>
                      </w:rPr>
                      <w:t> </w:t>
                    </w:r>
                    <w:hyperlink r:id="rId18">
                      <w:r>
                        <w:rPr>
                          <w:sz w:val="18"/>
                          <w:u w:val="single"/>
                        </w:rPr>
                        <w:t>iseline.guyot@gmail.com</w:t>
                      </w:r>
                    </w:hyperlink>
                  </w:p>
                  <w:p>
                    <w:pPr>
                      <w:spacing w:before="180"/>
                      <w:ind w:left="0" w:right="18" w:firstLine="0"/>
                      <w:jc w:val="center"/>
                      <w:rPr>
                        <w:sz w:val="18"/>
                      </w:rPr>
                    </w:pPr>
                    <w:r>
                      <w:rPr>
                        <w:b/>
                        <w:sz w:val="18"/>
                      </w:rPr>
                      <w:t>Facebook </w:t>
                    </w:r>
                    <w:r>
                      <w:rPr>
                        <w:sz w:val="18"/>
                      </w:rPr>
                      <w:t>: @LPCIVS (Licence professionnelle commercialisation</w:t>
                    </w:r>
                  </w:p>
                </w:txbxContent>
              </v:textbox>
              <w10:wrap type="none"/>
            </v:shape>
            <v:shape style="position:absolute;left:10865;top:981;width:521;height:200" type="#_x0000_t202" filled="false" stroked="false">
              <v:textbox inset="0,0,0,0">
                <w:txbxContent>
                  <w:p>
                    <w:pPr>
                      <w:spacing w:line="199" w:lineRule="exact" w:before="0"/>
                      <w:ind w:left="0" w:right="0" w:firstLine="0"/>
                      <w:jc w:val="left"/>
                      <w:rPr>
                        <w:b/>
                        <w:sz w:val="18"/>
                      </w:rPr>
                    </w:pPr>
                    <w:r>
                      <w:rPr>
                        <w:b/>
                        <w:sz w:val="18"/>
                      </w:rPr>
                      <w:t>Iseline</w:t>
                    </w:r>
                  </w:p>
                </w:txbxContent>
              </v:textbox>
              <w10:wrap type="none"/>
            </v:shape>
            <v:shape style="position:absolute;left:7000;top:981;width:1186;height:200" type="#_x0000_t202" filled="false" stroked="false">
              <v:textbox inset="0,0,0,0">
                <w:txbxContent>
                  <w:p>
                    <w:pPr>
                      <w:spacing w:line="199" w:lineRule="exact" w:before="0"/>
                      <w:ind w:left="0" w:right="0" w:firstLine="0"/>
                      <w:jc w:val="left"/>
                      <w:rPr>
                        <w:b/>
                        <w:sz w:val="18"/>
                      </w:rPr>
                    </w:pPr>
                    <w:r>
                      <w:rPr>
                        <w:b/>
                        <w:sz w:val="18"/>
                      </w:rPr>
                      <w:t>Cléia SEYLER</w:t>
                    </w:r>
                  </w:p>
                </w:txbxContent>
              </v:textbox>
              <w10:wrap type="none"/>
            </v:shape>
            <v:shape style="position:absolute;left:8660;top:559;width:1040;height:280" type="#_x0000_t202" filled="false" stroked="false">
              <v:textbox inset="0,0,0,0">
                <w:txbxContent>
                  <w:p>
                    <w:pPr>
                      <w:spacing w:line="280" w:lineRule="exact" w:before="0"/>
                      <w:ind w:left="0" w:right="0" w:firstLine="0"/>
                      <w:jc w:val="left"/>
                      <w:rPr>
                        <w:rFonts w:ascii="Palatino Linotype"/>
                        <w:b/>
                        <w:i/>
                        <w:sz w:val="28"/>
                      </w:rPr>
                    </w:pPr>
                    <w:r>
                      <w:rPr>
                        <w:rFonts w:ascii="Palatino Linotype"/>
                        <w:b/>
                        <w:i/>
                        <w:color w:val="B51700"/>
                        <w:spacing w:val="-3"/>
                        <w:w w:val="105"/>
                        <w:sz w:val="28"/>
                      </w:rPr>
                      <w:t>Contact</w:t>
                    </w:r>
                  </w:p>
                </w:txbxContent>
              </v:textbox>
              <w10:wrap type="none"/>
            </v:shape>
            <w10:wrap type="topAndBottom"/>
          </v:group>
        </w:pict>
      </w:r>
      <w:r>
        <w:rPr/>
        <w:drawing>
          <wp:anchor distT="0" distB="0" distL="0" distR="0" allowOverlap="1" layoutInCell="1" locked="0" behindDoc="0" simplePos="0" relativeHeight="22">
            <wp:simplePos x="0" y="0"/>
            <wp:positionH relativeFrom="page">
              <wp:posOffset>4202087</wp:posOffset>
            </wp:positionH>
            <wp:positionV relativeFrom="paragraph">
              <wp:posOffset>2021250</wp:posOffset>
            </wp:positionV>
            <wp:extent cx="755237" cy="437197"/>
            <wp:effectExtent l="0" t="0" r="0" b="0"/>
            <wp:wrapTopAndBottom/>
            <wp:docPr id="21" name="image1.png"/>
            <wp:cNvGraphicFramePr>
              <a:graphicFrameLocks noChangeAspect="1"/>
            </wp:cNvGraphicFramePr>
            <a:graphic>
              <a:graphicData uri="http://schemas.openxmlformats.org/drawingml/2006/picture">
                <pic:pic>
                  <pic:nvPicPr>
                    <pic:cNvPr id="22" name="image1.png"/>
                    <pic:cNvPicPr/>
                  </pic:nvPicPr>
                  <pic:blipFill>
                    <a:blip r:embed="rId5" cstate="print"/>
                    <a:stretch>
                      <a:fillRect/>
                    </a:stretch>
                  </pic:blipFill>
                  <pic:spPr>
                    <a:xfrm>
                      <a:off x="0" y="0"/>
                      <a:ext cx="755237" cy="437197"/>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5173756</wp:posOffset>
            </wp:positionH>
            <wp:positionV relativeFrom="paragraph">
              <wp:posOffset>1861021</wp:posOffset>
            </wp:positionV>
            <wp:extent cx="480157" cy="584073"/>
            <wp:effectExtent l="0" t="0" r="0" b="0"/>
            <wp:wrapTopAndBottom/>
            <wp:docPr id="23" name="image13.png"/>
            <wp:cNvGraphicFramePr>
              <a:graphicFrameLocks noChangeAspect="1"/>
            </wp:cNvGraphicFramePr>
            <a:graphic>
              <a:graphicData uri="http://schemas.openxmlformats.org/drawingml/2006/picture">
                <pic:pic>
                  <pic:nvPicPr>
                    <pic:cNvPr id="24" name="image13.png"/>
                    <pic:cNvPicPr/>
                  </pic:nvPicPr>
                  <pic:blipFill>
                    <a:blip r:embed="rId19" cstate="print"/>
                    <a:stretch>
                      <a:fillRect/>
                    </a:stretch>
                  </pic:blipFill>
                  <pic:spPr>
                    <a:xfrm>
                      <a:off x="0" y="0"/>
                      <a:ext cx="480157" cy="584073"/>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5856111</wp:posOffset>
            </wp:positionH>
            <wp:positionV relativeFrom="paragraph">
              <wp:posOffset>2056778</wp:posOffset>
            </wp:positionV>
            <wp:extent cx="723138" cy="451961"/>
            <wp:effectExtent l="0" t="0" r="0" b="0"/>
            <wp:wrapTopAndBottom/>
            <wp:docPr id="25" name="image14.jpeg"/>
            <wp:cNvGraphicFramePr>
              <a:graphicFrameLocks noChangeAspect="1"/>
            </wp:cNvGraphicFramePr>
            <a:graphic>
              <a:graphicData uri="http://schemas.openxmlformats.org/drawingml/2006/picture">
                <pic:pic>
                  <pic:nvPicPr>
                    <pic:cNvPr id="26" name="image14.jpeg"/>
                    <pic:cNvPicPr/>
                  </pic:nvPicPr>
                  <pic:blipFill>
                    <a:blip r:embed="rId20" cstate="print"/>
                    <a:stretch>
                      <a:fillRect/>
                    </a:stretch>
                  </pic:blipFill>
                  <pic:spPr>
                    <a:xfrm>
                      <a:off x="0" y="0"/>
                      <a:ext cx="723138" cy="451961"/>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6748884</wp:posOffset>
            </wp:positionH>
            <wp:positionV relativeFrom="paragraph">
              <wp:posOffset>2043522</wp:posOffset>
            </wp:positionV>
            <wp:extent cx="749236" cy="456914"/>
            <wp:effectExtent l="0" t="0" r="0" b="0"/>
            <wp:wrapTopAndBottom/>
            <wp:docPr id="27" name="image15.png"/>
            <wp:cNvGraphicFramePr>
              <a:graphicFrameLocks noChangeAspect="1"/>
            </wp:cNvGraphicFramePr>
            <a:graphic>
              <a:graphicData uri="http://schemas.openxmlformats.org/drawingml/2006/picture">
                <pic:pic>
                  <pic:nvPicPr>
                    <pic:cNvPr id="28" name="image15.png"/>
                    <pic:cNvPicPr/>
                  </pic:nvPicPr>
                  <pic:blipFill>
                    <a:blip r:embed="rId21" cstate="print"/>
                    <a:stretch>
                      <a:fillRect/>
                    </a:stretch>
                  </pic:blipFill>
                  <pic:spPr>
                    <a:xfrm>
                      <a:off x="0" y="0"/>
                      <a:ext cx="749236" cy="456914"/>
                    </a:xfrm>
                    <a:prstGeom prst="rect">
                      <a:avLst/>
                    </a:prstGeom>
                  </pic:spPr>
                </pic:pic>
              </a:graphicData>
            </a:graphic>
          </wp:anchor>
        </w:drawing>
      </w:r>
    </w:p>
    <w:p>
      <w:pPr>
        <w:pStyle w:val="BodyText"/>
        <w:spacing w:before="4"/>
        <w:rPr>
          <w:i/>
          <w:sz w:val="26"/>
        </w:rPr>
      </w:pPr>
    </w:p>
    <w:sectPr>
      <w:type w:val="continuous"/>
      <w:pgSz w:w="11910" w:h="16840"/>
      <w:pgMar w:top="180" w:bottom="280" w:left="20" w:right="0"/>
      <w:cols w:num="2" w:equalWidth="0">
        <w:col w:w="5897" w:space="541"/>
        <w:col w:w="545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Georgia">
    <w:altName w:val="Georg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5300"/>
      <w:outlineLvl w:val="1"/>
    </w:pPr>
    <w:rPr>
      <w:rFonts w:ascii="Times New Roman" w:hAnsi="Times New Roman" w:eastAsia="Times New Roman" w:cs="Times New Roman"/>
      <w:i/>
      <w:sz w:val="28"/>
      <w:szCs w:val="28"/>
    </w:rPr>
  </w:style>
  <w:style w:styleId="Heading2" w:type="paragraph">
    <w:name w:val="Heading 2"/>
    <w:basedOn w:val="Normal"/>
    <w:uiPriority w:val="1"/>
    <w:qFormat/>
    <w:pPr>
      <w:ind w:left="390" w:right="308"/>
      <w:jc w:val="center"/>
      <w:outlineLvl w:val="2"/>
    </w:pPr>
    <w:rPr>
      <w:rFonts w:ascii="Times New Roman" w:hAnsi="Times New Roman" w:eastAsia="Times New Roman" w:cs="Times New Roman"/>
      <w:i/>
      <w:sz w:val="26"/>
      <w:szCs w:val="26"/>
    </w:rPr>
  </w:style>
  <w:style w:styleId="Heading3" w:type="paragraph">
    <w:name w:val="Heading 3"/>
    <w:basedOn w:val="Normal"/>
    <w:uiPriority w:val="1"/>
    <w:qFormat/>
    <w:pPr>
      <w:ind w:left="300" w:right="162"/>
      <w:jc w:val="center"/>
      <w:outlineLvl w:val="3"/>
    </w:pPr>
    <w:rPr>
      <w:rFonts w:ascii="Times New Roman" w:hAnsi="Times New Roman" w:eastAsia="Times New Roman" w:cs="Times New Roman"/>
      <w: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yperlink" Target="mailto:cleia.seyler@gmail.com" TargetMode="External"/><Relationship Id="rId18" Type="http://schemas.openxmlformats.org/officeDocument/2006/relationships/hyperlink" Target="mailto:iseline.guyot@gmail.com" TargetMode="External"/><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2020-03-27T06:21:16Z</dcterms:created>
  <dcterms:modified xsi:type="dcterms:W3CDTF">2020-03-27T06:21:16Z</dcterms:modified>
</cp:coreProperties>
</file>