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Samedi 16 juillet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Dimanche 17 juillet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27100"/>
                <w:rtl w:val="0"/>
                <w14:textFill>
                  <w14:solidFill>
                    <w14:srgbClr w14:val="F27200"/>
                  </w14:solidFill>
                </w14:textFill>
              </w:rPr>
              <w:t>11h-19h</w:t>
            </w:r>
          </w:p>
        </w:tc>
        <w:tc>
          <w:tcPr>
            <w:tcW w:type="dxa" w:w="48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27100"/>
                <w:rtl w:val="0"/>
                <w14:textFill>
                  <w14:solidFill>
                    <w14:srgbClr w14:val="F27200"/>
                  </w14:solidFill>
                </w14:textFill>
              </w:rPr>
              <w:t>11h-19h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Caves ouvertes des 23 vignerons participants</w:t>
            </w:r>
          </w:p>
          <w:p>
            <w:pPr>
              <w:pStyle w:val="Style de tableau 2"/>
              <w:numPr>
                <w:ilvl w:val="0"/>
                <w:numId w:val="1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Animations et exposants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à </w:t>
            </w:r>
            <w:r>
              <w:rPr>
                <w:rFonts w:cs="Arial Unicode MS" w:eastAsia="Arial Unicode MS"/>
                <w:rtl w:val="0"/>
                <w:lang w:val="fr-FR"/>
              </w:rPr>
              <w:t>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couvrir chez eux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Idem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Jeux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: </w:t>
            </w:r>
          </w:p>
          <w:p>
            <w:pPr>
              <w:pStyle w:val="Style de tableau 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en bois pour les enfants au Presbyt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</w:rPr>
              <w:t>re</w:t>
            </w:r>
          </w:p>
          <w:p>
            <w:pPr>
              <w:pStyle w:val="Style de tableau 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AOC Champagne : jeu de soci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t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é à </w:t>
            </w:r>
            <w:r>
              <w:rPr>
                <w:rFonts w:cs="Arial Unicode MS" w:eastAsia="Arial Unicode MS"/>
                <w:rtl w:val="0"/>
                <w:lang w:val="fr-FR"/>
              </w:rPr>
              <w:t>tester place de la mairie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Idem</w:t>
            </w: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Stands de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couverte : </w:t>
            </w:r>
          </w:p>
          <w:p>
            <w:pPr>
              <w:pStyle w:val="Style de tableau 2"/>
              <w:bidi w:val="0"/>
            </w:pPr>
            <w:r>
              <w:rPr>
                <w:rFonts w:cs="Arial Unicode MS" w:eastAsia="Arial Unicode MS" w:hint="default"/>
                <w:rtl w:val="0"/>
                <w:lang w:val="fr-FR"/>
              </w:rPr>
              <w:t>« </w:t>
            </w:r>
            <w:r>
              <w:rPr>
                <w:rFonts w:cs="Arial Unicode MS" w:eastAsia="Arial Unicode MS"/>
                <w:rtl w:val="0"/>
                <w:lang w:val="fr-FR"/>
              </w:rPr>
              <w:t>Les 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tiers, alli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s du Champagne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 »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Tonnelier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Bouchonnier</w:t>
            </w:r>
          </w:p>
          <w:p>
            <w:pPr>
              <w:pStyle w:val="Style de tableau 2"/>
              <w:bidi w:val="0"/>
            </w:pPr>
            <w:r>
              <w:rPr>
                <w:rFonts w:cs="Arial Unicode MS" w:eastAsia="Arial Unicode MS" w:hint="default"/>
                <w:rtl w:val="0"/>
                <w:lang w:val="fr-FR"/>
              </w:rPr>
              <w:t>« 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Un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cosyst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è</w:t>
            </w:r>
            <w:r>
              <w:rPr>
                <w:rFonts w:cs="Arial Unicode MS" w:eastAsia="Arial Unicode MS"/>
                <w:rtl w:val="0"/>
                <w:lang w:val="fr-FR"/>
              </w:rPr>
              <w:t>me vertueux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 »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Le Rafidin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Ecocep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Idem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Expositions Espace Culturel : 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Vieilles photos de Rilly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Photos du Photos du photos club de Rilly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Idem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Exposition de vieilles voitures place de la mairie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Idem</w:t>
            </w: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Les Oenopiades, concourir cette ann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e : </w:t>
            </w:r>
          </w:p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Trois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preuves dans la journ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e 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Lancer de bouchons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Cerclage de tonneaux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Remuage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nl-NL"/>
              </w:rPr>
              <w:t xml:space="preserve">Les Oenopiades, </w:t>
            </w:r>
            <w:r>
              <w:rPr>
                <w:rFonts w:cs="Arial Unicode MS" w:eastAsia="Arial Unicode MS" w:hint="default"/>
                <w:rtl w:val="0"/>
              </w:rPr>
              <w:t>« </w:t>
            </w:r>
            <w:r>
              <w:rPr>
                <w:rFonts w:cs="Arial Unicode MS" w:eastAsia="Arial Unicode MS"/>
                <w:rtl w:val="0"/>
              </w:rPr>
              <w:t>s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  <w:lang w:val="it-IT"/>
              </w:rPr>
              <w:t>entra</w:t>
            </w:r>
            <w:r>
              <w:rPr>
                <w:rFonts w:cs="Arial Unicode MS" w:eastAsia="Arial Unicode MS" w:hint="default"/>
                <w:rtl w:val="0"/>
              </w:rPr>
              <w:t>î</w:t>
            </w:r>
            <w:r>
              <w:rPr>
                <w:rFonts w:cs="Arial Unicode MS" w:eastAsia="Arial Unicode MS"/>
                <w:rtl w:val="0"/>
                <w:lang w:val="fr-FR"/>
              </w:rPr>
              <w:t>ner pour l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ann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e prochaine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 xml:space="preserve"> » </w:t>
            </w:r>
          </w:p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Quatre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preuves </w:t>
            </w:r>
            <w:r>
              <w:rPr>
                <w:rFonts w:cs="Arial Unicode MS" w:eastAsia="Arial Unicode MS" w:hint="default"/>
                <w:rtl w:val="0"/>
              </w:rPr>
              <w:t xml:space="preserve">à </w:t>
            </w:r>
            <w:r>
              <w:rPr>
                <w:rFonts w:cs="Arial Unicode MS" w:eastAsia="Arial Unicode MS"/>
                <w:rtl w:val="0"/>
              </w:rPr>
              <w:t>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couvrir dans la journ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e : </w:t>
            </w:r>
          </w:p>
          <w:p>
            <w:pPr>
              <w:pStyle w:val="Style de tableau 2"/>
              <w:numPr>
                <w:ilvl w:val="0"/>
                <w:numId w:val="6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Lancer de bouchons</w:t>
            </w:r>
          </w:p>
          <w:p>
            <w:pPr>
              <w:pStyle w:val="Style de tableau 2"/>
              <w:numPr>
                <w:ilvl w:val="0"/>
                <w:numId w:val="6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Cerclage de tonneaux</w:t>
            </w:r>
          </w:p>
          <w:p>
            <w:pPr>
              <w:pStyle w:val="Style de tableau 2"/>
              <w:numPr>
                <w:ilvl w:val="0"/>
                <w:numId w:val="6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Remuage</w:t>
            </w:r>
          </w:p>
          <w:p>
            <w:pPr>
              <w:pStyle w:val="Style de tableau 2"/>
              <w:numPr>
                <w:ilvl w:val="0"/>
                <w:numId w:val="6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gorgement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16h00 :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fil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 vieilles voitures dans les rues de Rilly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16h30 : Remise du Prix de la voiture la plus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tillante !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27100"/>
                <w:rtl w:val="0"/>
                <w14:textFill>
                  <w14:solidFill>
                    <w14:srgbClr w14:val="F27200"/>
                  </w14:solidFill>
                </w14:textFill>
              </w:rPr>
              <w:t>19h30-21h</w:t>
            </w:r>
          </w:p>
        </w:tc>
        <w:tc>
          <w:tcPr>
            <w:tcW w:type="dxa" w:w="481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Finale des Oenopiades : 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Derni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è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re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preuve : le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gorgement 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Remise du troph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e et des prix</w:t>
            </w:r>
          </w:p>
        </w:tc>
        <w:tc>
          <w:tcPr>
            <w:tcW w:type="dxa" w:w="48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21h-00h</w:t>
            </w:r>
          </w:p>
        </w:tc>
        <w:tc>
          <w:tcPr>
            <w:tcW w:type="dxa" w:w="48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Concert </w:t>
            </w:r>
            <w:r>
              <w:rPr>
                <w:rFonts w:cs="Arial Unicode MS" w:eastAsia="Arial Unicode MS" w:hint="default"/>
                <w:rtl w:val="0"/>
              </w:rPr>
              <w:t>« 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Jazz sous les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toiles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 xml:space="preserve"> » </w:t>
            </w:r>
            <w:r>
              <w:rPr>
                <w:rFonts w:cs="Arial Unicode MS" w:eastAsia="Arial Unicode MS"/>
                <w:rtl w:val="0"/>
                <w:lang w:val="fr-FR"/>
              </w:rPr>
              <w:t>organis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é </w:t>
            </w:r>
            <w:r>
              <w:rPr>
                <w:rFonts w:cs="Arial Unicode MS" w:eastAsia="Arial Unicode MS"/>
                <w:rtl w:val="0"/>
                <w:lang w:val="it-IT"/>
              </w:rPr>
              <w:t>par Jazzus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: </w:t>
            </w:r>
          </w:p>
          <w:p>
            <w:pPr>
              <w:pStyle w:val="Style de tableau 2"/>
              <w:numPr>
                <w:ilvl w:val="0"/>
                <w:numId w:val="8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Duo Jazz Manouche</w:t>
            </w:r>
          </w:p>
          <w:p>
            <w:pPr>
              <w:pStyle w:val="Style de tableau 2"/>
              <w:numPr>
                <w:ilvl w:val="0"/>
                <w:numId w:val="8"/>
              </w:numPr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Jazzus Cotton Band</w:t>
            </w:r>
          </w:p>
        </w:tc>
        <w:tc>
          <w:tcPr>
            <w:tcW w:type="dxa" w:w="48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7100"/>
          </w:tcPr>
          <w:p/>
        </w:tc>
      </w:tr>
    </w:tbl>
    <w:p>
      <w:pPr>
        <w:pStyle w:val="Corps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fr-FR"/>
      </w:rPr>
      <w:t>Secrets du Petit Bonhomme</w:t>
    </w:r>
    <w:r>
      <w:tab/>
    </w:r>
    <w:r>
      <w:rPr>
        <w:rtl w:val="0"/>
        <w:lang w:val="fr-FR"/>
      </w:rPr>
      <w:t>Programme</w:t>
    </w:r>
    <w:r>
      <w:tab/>
    </w:r>
    <w:r>
      <w:rPr>
        <w:rtl w:val="0"/>
        <w:lang w:val="fr-FR"/>
      </w:rPr>
      <w:t>15-16-17 juillet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